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2E7D32"/>
          <w:sz w:val="52"/>
          <w:szCs w:val="52"/>
        </w:rPr>
        <w:t xml:space="preserve">SOIL WHISPERS</w:t>
      </w:r>
    </w:p>
    <w:p>
      <w:pPr>
        <w:spacing w:after="200"/>
        <w:jc w:val="center"/>
      </w:pPr>
      <w:r>
        <w:rPr>
          <w:i/>
          <w:iCs/>
          <w:color w:val="1B5E20"/>
          <w:sz w:val="26"/>
          <w:szCs w:val="26"/>
        </w:rPr>
        <w:t xml:space="preserve">Data Gathering, Cleaning, and Preliminary Analysis</w:t>
      </w:r>
    </w:p>
    <w:p>
      <w:pPr>
        <w:spacing w:after="80" w:before="400"/>
        <w:jc w:val="center"/>
      </w:pPr>
      <w:r>
        <w:rPr>
          <w:color w:val="555555"/>
          <w:sz w:val="22"/>
          <w:szCs w:val="22"/>
        </w:rPr>
        <w:t xml:space="preserve">Week 2 Deliverable: YuvaIntern Internship Program</w:t>
      </w:r>
    </w:p>
    <w:p>
      <w:pPr>
        <w:spacing w:after="80"/>
        <w:jc w:val="center"/>
      </w:pPr>
      <w:r>
        <w:rPr>
          <w:color w:val="555555"/>
          <w:sz w:val="22"/>
          <w:szCs w:val="22"/>
        </w:rPr>
        <w:t xml:space="preserve">Prepared by: Yogitha J</w:t>
      </w:r>
    </w:p>
    <w:p>
      <w:pPr>
        <w:spacing w:after="800"/>
        <w:jc w:val="center"/>
      </w:pPr>
      <w:r>
        <w:rPr>
          <w:color w:val="555555"/>
          <w:sz w:val="22"/>
          <w:szCs w:val="22"/>
        </w:rPr>
        <w:t xml:space="preserve">Date: 05 August 2026</w:t>
      </w:r>
    </w:p>
    <w:p>
      <w:r>
        <w:br w:type="page"/>
      </w:r>
    </w:p>
    <w:p>
      <w:pPr>
        <w:pStyle w:val="Heading1"/>
        <w:pBdr>
          <w:bottom w:val="single" w:color="2E7D32" w:sz="8" w:space="4"/>
        </w:pBdr>
        <w:spacing w:after="160" w:before="360"/>
      </w:pPr>
      <w:r>
        <w:rPr>
          <w:b/>
          <w:bCs/>
          <w:color w:val="2E7D32"/>
          <w:sz w:val="30"/>
          <w:szCs w:val="30"/>
        </w:rPr>
        <w:t xml:space="preserve">1. Introduction</w:t>
      </w:r>
    </w:p>
    <w:p>
      <w:pPr>
        <w:spacing w:after="160" w:line="276"/>
      </w:pPr>
      <w:r>
        <w:rPr>
          <w:sz w:val="22"/>
          <w:szCs w:val="22"/>
        </w:rPr>
        <w:t xml:space="preserve">The Week 1 strategic plan proposed Soil Whispers, a decision dashboard that fuses satellite, weather, soil, and market data for farmers and agronomists. Putting that plan into practice starts here, at small scale. Two real, publicly available agribusiness datasets are identified below, a genuine cleaning process is documented for each, and the preliminary statistics that follow would seed the Year 1 dashboard's data layer described in the strategic plan.</w:t>
      </w:r>
    </w:p>
    <w:p>
      <w:pPr>
        <w:spacing w:after="160" w:line="276"/>
      </w:pPr>
      <w:r>
        <w:rPr>
          <w:sz w:val="22"/>
          <w:szCs w:val="22"/>
        </w:rPr>
        <w:t xml:space="preserve">Both datasets were sourced from public repositories rather than simulated. That choice matters: it means the cleaning decisions and findings below reflect the actual messiness of real agricultural data, including inconsistent records, structural zeros, and skewed distributions, rather than a tidy synthetic stand-in.</w:t>
      </w:r>
    </w:p>
    <w:p>
      <w:pPr>
        <w:spacing w:after="160" w:line="276"/>
      </w:pPr>
      <w:r>
        <w:rPr>
          <w:i/>
          <w:iCs/>
          <w:color w:val="555555"/>
          <w:sz w:val="22"/>
          <w:szCs w:val="22"/>
        </w:rPr>
        <w:t xml:space="preserve">One practical note on sourcing: both datasets were retrieved from GitHub mirrors of the original government and research data, rather than pulled live from an API. Widely used public agribusiness datasets are frequently mirrored this way, and using a mirror sidesteps API registration and key-management friction without changing the underlying data.</w:t>
      </w:r>
    </w:p>
    <w:p>
      <w:pPr>
        <w:pStyle w:val="Heading1"/>
        <w:pBdr>
          <w:bottom w:val="single" w:color="2E7D32" w:sz="8" w:space="4"/>
        </w:pBdr>
        <w:spacing w:after="160" w:before="360"/>
      </w:pPr>
      <w:r>
        <w:rPr>
          <w:b/>
          <w:bCs/>
          <w:color w:val="2E7D32"/>
          <w:sz w:val="30"/>
          <w:szCs w:val="30"/>
        </w:rPr>
        <w:t xml:space="preserve">2. Methodology</w:t>
      </w:r>
    </w:p>
    <w:p>
      <w:pPr>
        <w:spacing w:after="160" w:line="276"/>
      </w:pPr>
      <w:r>
        <w:rPr>
          <w:sz w:val="22"/>
          <w:szCs w:val="22"/>
        </w:rPr>
        <w:t xml:space="preserve">This section covers two things: which datasets were used and why, and the step-by-step process applied to clean each one before any analysis began.</w:t>
      </w:r>
    </w:p>
    <w:p>
      <w:pPr>
        <w:pStyle w:val="Heading2"/>
        <w:spacing w:after="120" w:before="280"/>
      </w:pPr>
      <w:r>
        <w:rPr>
          <w:b/>
          <w:bCs/>
          <w:color w:val="1B5E20"/>
          <w:sz w:val="24"/>
          <w:szCs w:val="24"/>
        </w:rPr>
        <w:t xml:space="preserve">2.1 Data Source Identification</w:t>
      </w:r>
    </w:p>
    <w:p>
      <w:pPr>
        <w:pStyle w:val="Heading3"/>
        <w:spacing w:after="100" w:before="200"/>
      </w:pPr>
      <w:r>
        <w:rPr>
          <w:b/>
          <w:bCs/>
          <w:i/>
          <w:iCs/>
          <w:color w:val="2E7D32"/>
          <w:sz w:val="22"/>
          <w:szCs w:val="22"/>
        </w:rPr>
        <w:t xml:space="preserve">2.1.1 Source A: Crop Recommendation Dataset (Soil &amp; Climate)</w:t>
      </w:r>
    </w:p>
    <w:p>
      <w:pPr>
        <w:spacing w:after="160" w:line="276"/>
      </w:pPr>
      <w:r>
        <w:rPr>
          <w:sz w:val="22"/>
          <w:szCs w:val="22"/>
        </w:rPr>
        <w:t xml:space="preserve">This is a record-level dataset of 2,200 samples. Each row describes the soil nutrient levels (Nitrogen, Phosphorus, Potassium), temperature, humidity, soil pH, and rainfall associated with 22 different crops. It mirrors exactly the kind of soil-sensor and weather-API data the Week 1 plan proposes to fuse (Section 2.5 of the strategic plan).</w:t>
      </w:r>
    </w:p>
    <w:p>
      <w:pPr>
        <w:pStyle w:val="ListParagraph"/>
        <w:numPr>
          <w:ilvl w:val="0"/>
          <w:numId w:val="2"/>
        </w:numPr>
        <w:spacing w:after="80"/>
      </w:pPr>
      <w:r>
        <w:rPr>
          <w:sz w:val="22"/>
          <w:szCs w:val="22"/>
        </w:rPr>
        <w:t xml:space="preserve">Type of data: numeric soil and climate features, plus a categorical crop label.</w:t>
      </w:r>
    </w:p>
    <w:p>
      <w:pPr>
        <w:pStyle w:val="ListParagraph"/>
        <w:numPr>
          <w:ilvl w:val="0"/>
          <w:numId w:val="2"/>
        </w:numPr>
        <w:spacing w:after="80"/>
      </w:pPr>
      <w:r>
        <w:rPr>
          <w:sz w:val="22"/>
          <w:szCs w:val="22"/>
        </w:rPr>
        <w:t xml:space="preserve">Potential use in visualization: scatter plots and box plots showing which rainfall and nutrient ranges suit which crops. This directly supports the “is my irrigation schedule matched to the data” business question from Week 1.</w:t>
      </w:r>
    </w:p>
    <w:p>
      <w:pPr>
        <w:pStyle w:val="Heading3"/>
        <w:spacing w:after="100" w:before="200"/>
      </w:pPr>
      <w:r>
        <w:rPr>
          <w:b/>
          <w:bCs/>
          <w:i/>
          <w:iCs/>
          <w:color w:val="2E7D32"/>
          <w:sz w:val="22"/>
          <w:szCs w:val="22"/>
        </w:rPr>
        <w:t xml:space="preserve">2.1.2 Source B: District-Level Crop Yield Dataset, India (2010–2017)</w:t>
      </w:r>
    </w:p>
    <w:p>
      <w:pPr>
        <w:spacing w:after="160" w:line="276"/>
      </w:pPr>
      <w:r>
        <w:rPr>
          <w:sz w:val="22"/>
          <w:szCs w:val="22"/>
        </w:rPr>
        <w:t xml:space="preserve">This is a district-year panel covering 20 states and 8 years. It records area, production, and yield for rice, wheat, cotton, sugarcane, and other crops.</w:t>
      </w:r>
    </w:p>
    <w:p>
      <w:pPr>
        <w:pStyle w:val="ListParagraph"/>
        <w:numPr>
          <w:ilvl w:val="0"/>
          <w:numId w:val="2"/>
        </w:numPr>
        <w:spacing w:after="80"/>
      </w:pPr>
      <w:r>
        <w:rPr>
          <w:sz w:val="22"/>
          <w:szCs w:val="22"/>
        </w:rPr>
        <w:t xml:space="preserve">Type of data: time-series, structured by district and year, across multiple crop-specific metrics.</w:t>
      </w:r>
    </w:p>
    <w:p>
      <w:pPr>
        <w:pStyle w:val="ListParagraph"/>
        <w:numPr>
          <w:ilvl w:val="0"/>
          <w:numId w:val="2"/>
        </w:numPr>
        <w:spacing w:after="80"/>
      </w:pPr>
      <w:r>
        <w:rPr>
          <w:sz w:val="22"/>
          <w:szCs w:val="22"/>
        </w:rPr>
        <w:t xml:space="preserve">Potential use in visualization: trend lines and state comparison charts. These support both the “how does this season compare to prior seasons” and the “which fields deliver the best return” business questions from Week 1.</w:t>
      </w:r>
    </w:p>
    <w:p>
      <w:pPr>
        <w:pStyle w:val="Heading2"/>
        <w:spacing w:after="120" w:before="280"/>
      </w:pPr>
      <w:r>
        <w:rPr>
          <w:b/>
          <w:bCs/>
          <w:color w:val="1B5E20"/>
          <w:sz w:val="24"/>
          <w:szCs w:val="24"/>
        </w:rPr>
        <w:t xml:space="preserve">2.2 Data Cleaning Plan</w:t>
      </w:r>
    </w:p>
    <w:p>
      <w:pPr>
        <w:pStyle w:val="Heading3"/>
        <w:spacing w:after="100" w:before="200"/>
      </w:pPr>
      <w:r>
        <w:rPr>
          <w:b/>
          <w:bCs/>
          <w:i/>
          <w:iCs/>
          <w:color w:val="2E7D32"/>
          <w:sz w:val="22"/>
          <w:szCs w:val="22"/>
        </w:rPr>
        <w:t xml:space="preserve">2.2.1 Source A: Crop Recommendation Dataset</w:t>
      </w:r>
    </w:p>
    <w:p>
      <w:pPr>
        <w:pStyle w:val="ListParagraph"/>
        <w:numPr>
          <w:ilvl w:val="0"/>
          <w:numId w:val="2"/>
        </w:numPr>
        <w:spacing w:after="80"/>
      </w:pPr>
      <w:r>
        <w:rPr>
          <w:sz w:val="22"/>
          <w:szCs w:val="22"/>
        </w:rPr>
        <w:t xml:space="preserve">Checked for exact duplicate rows. None were found (0 of 2,200).</w:t>
      </w:r>
    </w:p>
    <w:p>
      <w:pPr>
        <w:pStyle w:val="ListParagraph"/>
        <w:numPr>
          <w:ilvl w:val="0"/>
          <w:numId w:val="2"/>
        </w:numPr>
        <w:spacing w:after="80"/>
      </w:pPr>
      <w:r>
        <w:rPr>
          <w:sz w:val="22"/>
          <w:szCs w:val="22"/>
        </w:rPr>
        <w:t xml:space="preserve">Checked for structurally impossible values: negative nutrient levels, humidity outside 0–100%, pH outside 0–14, and negative rainfall. None were found, which suggests a pre-vetted source.</w:t>
      </w:r>
    </w:p>
    <w:p>
      <w:pPr>
        <w:pStyle w:val="ListParagraph"/>
        <w:numPr>
          <w:ilvl w:val="0"/>
          <w:numId w:val="2"/>
        </w:numPr>
        <w:spacing w:after="80"/>
      </w:pPr>
      <w:r>
        <w:rPr>
          <w:sz w:val="22"/>
          <w:szCs w:val="22"/>
        </w:rPr>
        <w:t xml:space="preserve">Flagged, but did not drop, statistical outliers in rainfall and temperature using the IQR method. Agronomically real extremes, like very high rainfall for rice, are meaningful signal rather than errors. About 100 rainfall values and several temperature values fell outside the 1.5×IQR band, mostly concentrated in high-rainfall crops such as rice and coffee.</w:t>
      </w:r>
    </w:p>
    <w:p>
      <w:pPr>
        <w:pStyle w:val="Heading3"/>
        <w:spacing w:after="100" w:before="200"/>
      </w:pPr>
      <w:r>
        <w:rPr>
          <w:b/>
          <w:bCs/>
          <w:i/>
          <w:iCs/>
          <w:color w:val="2E7D32"/>
          <w:sz w:val="22"/>
          <w:szCs w:val="22"/>
        </w:rPr>
        <w:t xml:space="preserve">2.2.2 Source B: District Crop Yield Dataset</w:t>
      </w:r>
    </w:p>
    <w:p>
      <w:pPr>
        <w:pStyle w:val="ListParagraph"/>
        <w:numPr>
          <w:ilvl w:val="0"/>
          <w:numId w:val="2"/>
        </w:numPr>
        <w:spacing w:after="80"/>
      </w:pPr>
      <w:r>
        <w:rPr>
          <w:sz w:val="22"/>
          <w:szCs w:val="22"/>
        </w:rPr>
        <w:t xml:space="preserve">Checked for duplicate district-year rows. None were found.</w:t>
      </w:r>
    </w:p>
    <w:p>
      <w:pPr>
        <w:pStyle w:val="ListParagraph"/>
        <w:numPr>
          <w:ilvl w:val="0"/>
          <w:numId w:val="2"/>
        </w:numPr>
        <w:spacing w:after="80"/>
      </w:pPr>
      <w:r>
        <w:rPr>
          <w:sz w:val="22"/>
          <w:szCs w:val="22"/>
        </w:rPr>
        <w:t xml:space="preserve">Identified a genuine data-quality issue: 6 rows record nonzero rice-growing area but zero rice yield. That combination is agronomically inconsistent, since land under cultivation should produce some yield. These rows were flagged for exclusion from yield averages rather than silently kept, to avoid understating true yield.</w:t>
      </w:r>
    </w:p>
    <w:p>
      <w:pPr>
        <w:pStyle w:val="ListParagraph"/>
        <w:numPr>
          <w:ilvl w:val="0"/>
          <w:numId w:val="2"/>
        </w:numPr>
        <w:spacing w:after="80"/>
      </w:pPr>
      <w:r>
        <w:rPr>
          <w:sz w:val="22"/>
          <w:szCs w:val="22"/>
        </w:rPr>
        <w:t xml:space="preserve">Distinguished true missing data from structural zeros. A “0” in a crop's area or production column usually just means that crop is not grown in that district. Treating those as missing values would have wrongly dragged down national averages, so zero-area rows were excluded before computing yield statistics.</w:t>
      </w:r>
    </w:p>
    <w:p>
      <w:pPr>
        <w:pStyle w:val="ListParagraph"/>
        <w:numPr>
          <w:ilvl w:val="0"/>
          <w:numId w:val="2"/>
        </w:numPr>
        <w:spacing w:after="80"/>
      </w:pPr>
      <w:r>
        <w:rPr>
          <w:sz w:val="22"/>
          <w:szCs w:val="22"/>
        </w:rPr>
        <w:t xml:space="preserve">Checked yield outliers via IQR, after first excluding the structural zeros above. 46 rice-yield values and a smaller number of wheat-yield values were flagged as unusually high or low. These were kept in the dataset but noted for review, since they may reflect real high-performing districts, such as Punjab or Tamil Nadu, rather than data errors.</w:t>
      </w:r>
    </w:p>
    <w:p>
      <w:pPr>
        <w:pStyle w:val="Heading1"/>
        <w:pBdr>
          <w:bottom w:val="single" w:color="2E7D32" w:sz="8" w:space="4"/>
        </w:pBdr>
        <w:spacing w:after="160" w:before="360"/>
      </w:pPr>
      <w:r>
        <w:rPr>
          <w:b/>
          <w:bCs/>
          <w:color w:val="2E7D32"/>
          <w:sz w:val="30"/>
          <w:szCs w:val="30"/>
        </w:rPr>
        <w:t xml:space="preserve">3. Analysis</w:t>
      </w:r>
    </w:p>
    <w:p>
      <w:pPr>
        <w:spacing w:after="160" w:line="276"/>
      </w:pPr>
      <w:r>
        <w:rPr>
          <w:sz w:val="22"/>
          <w:szCs w:val="22"/>
        </w:rPr>
        <w:t xml:space="preserve">With both datasets cleaned, this section reports preliminary descriptive statistics, the kind of mean, spread, and correlation checks that should always come before building anything more complex.</w:t>
      </w:r>
    </w:p>
    <w:p>
      <w:pPr>
        <w:pStyle w:val="Heading2"/>
        <w:spacing w:after="120" w:before="280"/>
      </w:pPr>
      <w:r>
        <w:rPr>
          <w:b/>
          <w:bCs/>
          <w:color w:val="1B5E20"/>
          <w:sz w:val="24"/>
          <w:szCs w:val="24"/>
        </w:rPr>
        <w:t xml:space="preserve">3.1 Soil &amp; Climate Profile by Crop</w:t>
      </w:r>
    </w:p>
    <w:p>
      <w:pPr>
        <w:spacing w:after="160" w:line="276"/>
      </w:pPr>
      <w:r>
        <w:rPr>
          <w:sz w:val="22"/>
          <w:szCs w:val="22"/>
        </w:rPr>
        <w:t xml:space="preserve">Mean nutrient and climate values for a sample of common crops show clear, distinct profiles. This is exactly the kind of differentiation a recommendation or stress-detection model would rely 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900"/>
        <w:gridCol w:w="900"/>
        <w:gridCol w:w="1300"/>
        <w:gridCol w:w="1300"/>
        <w:gridCol w:w="900"/>
        <w:gridCol w:w="1300"/>
      </w:tblGrid>
      <w:tr>
        <w:trPr>
          <w:tblHeader/>
        </w:trPr>
        <w:tc>
          <w:tcPr>
            <w:tcW w:type="dxa" w:w="1300"/>
            <w:shd w:fill="2E7D32" w:val="clear"/>
            <w:tcMar>
              <w:top w:type="dxa" w:w="100"/>
              <w:left w:type="dxa" w:w="120"/>
              <w:bottom w:type="dxa" w:w="100"/>
              <w:right w:type="dxa" w:w="120"/>
            </w:tcMar>
          </w:tcPr>
          <w:p>
            <w:r>
              <w:rPr>
                <w:b/>
                <w:bCs/>
                <w:color w:val="FFFFFF"/>
                <w:sz w:val="20"/>
                <w:szCs w:val="20"/>
              </w:rPr>
              <w:t xml:space="preserve">Crop</w:t>
            </w:r>
          </w:p>
        </w:tc>
        <w:tc>
          <w:tcPr>
            <w:tcW w:type="dxa" w:w="900"/>
            <w:shd w:fill="2E7D32" w:val="clear"/>
            <w:tcMar>
              <w:top w:type="dxa" w:w="100"/>
              <w:left w:type="dxa" w:w="120"/>
              <w:bottom w:type="dxa" w:w="100"/>
              <w:right w:type="dxa" w:w="120"/>
            </w:tcMar>
          </w:tcPr>
          <w:p>
            <w:r>
              <w:rPr>
                <w:b/>
                <w:bCs/>
                <w:color w:val="FFFFFF"/>
                <w:sz w:val="20"/>
                <w:szCs w:val="20"/>
              </w:rPr>
              <w:t xml:space="preserve">N</w:t>
            </w:r>
          </w:p>
        </w:tc>
        <w:tc>
          <w:tcPr>
            <w:tcW w:type="dxa" w:w="900"/>
            <w:shd w:fill="2E7D32" w:val="clear"/>
            <w:tcMar>
              <w:top w:type="dxa" w:w="100"/>
              <w:left w:type="dxa" w:w="120"/>
              <w:bottom w:type="dxa" w:w="100"/>
              <w:right w:type="dxa" w:w="120"/>
            </w:tcMar>
          </w:tcPr>
          <w:p>
            <w:r>
              <w:rPr>
                <w:b/>
                <w:bCs/>
                <w:color w:val="FFFFFF"/>
                <w:sz w:val="20"/>
                <w:szCs w:val="20"/>
              </w:rPr>
              <w:t xml:space="preserve">P</w:t>
            </w:r>
          </w:p>
        </w:tc>
        <w:tc>
          <w:tcPr>
            <w:tcW w:type="dxa" w:w="900"/>
            <w:shd w:fill="2E7D32" w:val="clear"/>
            <w:tcMar>
              <w:top w:type="dxa" w:w="100"/>
              <w:left w:type="dxa" w:w="120"/>
              <w:bottom w:type="dxa" w:w="100"/>
              <w:right w:type="dxa" w:w="120"/>
            </w:tcMar>
          </w:tcPr>
          <w:p>
            <w:r>
              <w:rPr>
                <w:b/>
                <w:bCs/>
                <w:color w:val="FFFFFF"/>
                <w:sz w:val="20"/>
                <w:szCs w:val="20"/>
              </w:rPr>
              <w:t xml:space="preserve">K</w:t>
            </w:r>
          </w:p>
        </w:tc>
        <w:tc>
          <w:tcPr>
            <w:tcW w:type="dxa" w:w="1300"/>
            <w:shd w:fill="2E7D32" w:val="clear"/>
            <w:tcMar>
              <w:top w:type="dxa" w:w="100"/>
              <w:left w:type="dxa" w:w="120"/>
              <w:bottom w:type="dxa" w:w="100"/>
              <w:right w:type="dxa" w:w="120"/>
            </w:tcMar>
          </w:tcPr>
          <w:p>
            <w:r>
              <w:rPr>
                <w:b/>
                <w:bCs/>
                <w:color w:val="FFFFFF"/>
                <w:sz w:val="20"/>
                <w:szCs w:val="20"/>
              </w:rPr>
              <w:t xml:space="preserve">Temp (°C)</w:t>
            </w:r>
          </w:p>
        </w:tc>
        <w:tc>
          <w:tcPr>
            <w:tcW w:type="dxa" w:w="1300"/>
            <w:shd w:fill="2E7D32" w:val="clear"/>
            <w:tcMar>
              <w:top w:type="dxa" w:w="100"/>
              <w:left w:type="dxa" w:w="120"/>
              <w:bottom w:type="dxa" w:w="100"/>
              <w:right w:type="dxa" w:w="120"/>
            </w:tcMar>
          </w:tcPr>
          <w:p>
            <w:r>
              <w:rPr>
                <w:b/>
                <w:bCs/>
                <w:color w:val="FFFFFF"/>
                <w:sz w:val="20"/>
                <w:szCs w:val="20"/>
              </w:rPr>
              <w:t xml:space="preserve">Humidity (%)</w:t>
            </w:r>
          </w:p>
        </w:tc>
        <w:tc>
          <w:tcPr>
            <w:tcW w:type="dxa" w:w="900"/>
            <w:shd w:fill="2E7D32" w:val="clear"/>
            <w:tcMar>
              <w:top w:type="dxa" w:w="100"/>
              <w:left w:type="dxa" w:w="120"/>
              <w:bottom w:type="dxa" w:w="100"/>
              <w:right w:type="dxa" w:w="120"/>
            </w:tcMar>
          </w:tcPr>
          <w:p>
            <w:r>
              <w:rPr>
                <w:b/>
                <w:bCs/>
                <w:color w:val="FFFFFF"/>
                <w:sz w:val="20"/>
                <w:szCs w:val="20"/>
              </w:rPr>
              <w:t xml:space="preserve">pH</w:t>
            </w:r>
          </w:p>
        </w:tc>
        <w:tc>
          <w:tcPr>
            <w:tcW w:type="dxa" w:w="1300"/>
            <w:shd w:fill="2E7D32" w:val="clear"/>
            <w:tcMar>
              <w:top w:type="dxa" w:w="100"/>
              <w:left w:type="dxa" w:w="120"/>
              <w:bottom w:type="dxa" w:w="100"/>
              <w:right w:type="dxa" w:w="120"/>
            </w:tcMar>
          </w:tcPr>
          <w:p>
            <w:r>
              <w:rPr>
                <w:b/>
                <w:bCs/>
                <w:color w:val="FFFFFF"/>
                <w:sz w:val="20"/>
                <w:szCs w:val="20"/>
              </w:rPr>
              <w:t xml:space="preserve">Rainfall (mm)</w:t>
            </w:r>
          </w:p>
        </w:tc>
      </w:tr>
      <w:tr>
        <w:tc>
          <w:tcPr>
            <w:tcW w:type="dxa" w:w="1300"/>
            <w:shd w:fill="F5F5F5" w:val="clear"/>
            <w:tcMar>
              <w:top w:type="dxa" w:w="100"/>
              <w:left w:type="dxa" w:w="120"/>
              <w:bottom w:type="dxa" w:w="100"/>
              <w:right w:type="dxa" w:w="120"/>
            </w:tcMar>
          </w:tcPr>
          <w:p>
            <w:r>
              <w:rPr>
                <w:b w:val="false"/>
                <w:bCs w:val="false"/>
                <w:sz w:val="20"/>
                <w:szCs w:val="20"/>
              </w:rPr>
              <w:t xml:space="preserve">Rice</w:t>
            </w:r>
          </w:p>
        </w:tc>
        <w:tc>
          <w:tcPr>
            <w:tcW w:type="dxa" w:w="900"/>
            <w:shd w:fill="F5F5F5" w:val="clear"/>
            <w:tcMar>
              <w:top w:type="dxa" w:w="100"/>
              <w:left w:type="dxa" w:w="120"/>
              <w:bottom w:type="dxa" w:w="100"/>
              <w:right w:type="dxa" w:w="120"/>
            </w:tcMar>
          </w:tcPr>
          <w:p>
            <w:r>
              <w:rPr>
                <w:b w:val="false"/>
                <w:bCs w:val="false"/>
                <w:sz w:val="20"/>
                <w:szCs w:val="20"/>
              </w:rPr>
              <w:t xml:space="preserve">79.9</w:t>
            </w:r>
          </w:p>
        </w:tc>
        <w:tc>
          <w:tcPr>
            <w:tcW w:type="dxa" w:w="900"/>
            <w:shd w:fill="F5F5F5" w:val="clear"/>
            <w:tcMar>
              <w:top w:type="dxa" w:w="100"/>
              <w:left w:type="dxa" w:w="120"/>
              <w:bottom w:type="dxa" w:w="100"/>
              <w:right w:type="dxa" w:w="120"/>
            </w:tcMar>
          </w:tcPr>
          <w:p>
            <w:r>
              <w:rPr>
                <w:b w:val="false"/>
                <w:bCs w:val="false"/>
                <w:sz w:val="20"/>
                <w:szCs w:val="20"/>
              </w:rPr>
              <w:t xml:space="preserve">47.6</w:t>
            </w:r>
          </w:p>
        </w:tc>
        <w:tc>
          <w:tcPr>
            <w:tcW w:type="dxa" w:w="900"/>
            <w:shd w:fill="F5F5F5" w:val="clear"/>
            <w:tcMar>
              <w:top w:type="dxa" w:w="100"/>
              <w:left w:type="dxa" w:w="120"/>
              <w:bottom w:type="dxa" w:w="100"/>
              <w:right w:type="dxa" w:w="120"/>
            </w:tcMar>
          </w:tcPr>
          <w:p>
            <w:r>
              <w:rPr>
                <w:b w:val="false"/>
                <w:bCs w:val="false"/>
                <w:sz w:val="20"/>
                <w:szCs w:val="20"/>
              </w:rPr>
              <w:t xml:space="preserve">39.9</w:t>
            </w:r>
          </w:p>
        </w:tc>
        <w:tc>
          <w:tcPr>
            <w:tcW w:type="dxa" w:w="1300"/>
            <w:shd w:fill="F5F5F5" w:val="clear"/>
            <w:tcMar>
              <w:top w:type="dxa" w:w="100"/>
              <w:left w:type="dxa" w:w="120"/>
              <w:bottom w:type="dxa" w:w="100"/>
              <w:right w:type="dxa" w:w="120"/>
            </w:tcMar>
          </w:tcPr>
          <w:p>
            <w:r>
              <w:rPr>
                <w:b w:val="false"/>
                <w:bCs w:val="false"/>
                <w:sz w:val="20"/>
                <w:szCs w:val="20"/>
              </w:rPr>
              <w:t xml:space="preserve">23.7</w:t>
            </w:r>
          </w:p>
        </w:tc>
        <w:tc>
          <w:tcPr>
            <w:tcW w:type="dxa" w:w="1300"/>
            <w:shd w:fill="F5F5F5" w:val="clear"/>
            <w:tcMar>
              <w:top w:type="dxa" w:w="100"/>
              <w:left w:type="dxa" w:w="120"/>
              <w:bottom w:type="dxa" w:w="100"/>
              <w:right w:type="dxa" w:w="120"/>
            </w:tcMar>
          </w:tcPr>
          <w:p>
            <w:r>
              <w:rPr>
                <w:b w:val="false"/>
                <w:bCs w:val="false"/>
                <w:sz w:val="20"/>
                <w:szCs w:val="20"/>
              </w:rPr>
              <w:t xml:space="preserve">82.3</w:t>
            </w:r>
          </w:p>
        </w:tc>
        <w:tc>
          <w:tcPr>
            <w:tcW w:type="dxa" w:w="900"/>
            <w:shd w:fill="F5F5F5" w:val="clear"/>
            <w:tcMar>
              <w:top w:type="dxa" w:w="100"/>
              <w:left w:type="dxa" w:w="120"/>
              <w:bottom w:type="dxa" w:w="100"/>
              <w:right w:type="dxa" w:w="120"/>
            </w:tcMar>
          </w:tcPr>
          <w:p>
            <w:r>
              <w:rPr>
                <w:b w:val="false"/>
                <w:bCs w:val="false"/>
                <w:sz w:val="20"/>
                <w:szCs w:val="20"/>
              </w:rPr>
              <w:t xml:space="preserve">6.4</w:t>
            </w:r>
          </w:p>
        </w:tc>
        <w:tc>
          <w:tcPr>
            <w:tcW w:type="dxa" w:w="1300"/>
            <w:shd w:fill="F5F5F5" w:val="clear"/>
            <w:tcMar>
              <w:top w:type="dxa" w:w="100"/>
              <w:left w:type="dxa" w:w="120"/>
              <w:bottom w:type="dxa" w:w="100"/>
              <w:right w:type="dxa" w:w="120"/>
            </w:tcMar>
          </w:tcPr>
          <w:p>
            <w:r>
              <w:rPr>
                <w:b w:val="false"/>
                <w:bCs w:val="false"/>
                <w:sz w:val="20"/>
                <w:szCs w:val="20"/>
              </w:rPr>
              <w:t xml:space="preserve">236.2</w:t>
            </w:r>
          </w:p>
        </w:tc>
      </w:tr>
      <w:tr>
        <w:tc>
          <w:tcPr>
            <w:tcW w:type="dxa" w:w="1300"/>
            <w:shd w:fill="FFFFFF" w:val="clear"/>
            <w:tcMar>
              <w:top w:type="dxa" w:w="100"/>
              <w:left w:type="dxa" w:w="120"/>
              <w:bottom w:type="dxa" w:w="100"/>
              <w:right w:type="dxa" w:w="120"/>
            </w:tcMar>
          </w:tcPr>
          <w:p>
            <w:r>
              <w:rPr>
                <w:b w:val="false"/>
                <w:bCs w:val="false"/>
                <w:sz w:val="20"/>
                <w:szCs w:val="20"/>
              </w:rPr>
              <w:t xml:space="preserve">Maize</w:t>
            </w:r>
          </w:p>
        </w:tc>
        <w:tc>
          <w:tcPr>
            <w:tcW w:type="dxa" w:w="900"/>
            <w:shd w:fill="FFFFFF" w:val="clear"/>
            <w:tcMar>
              <w:top w:type="dxa" w:w="100"/>
              <w:left w:type="dxa" w:w="120"/>
              <w:bottom w:type="dxa" w:w="100"/>
              <w:right w:type="dxa" w:w="120"/>
            </w:tcMar>
          </w:tcPr>
          <w:p>
            <w:r>
              <w:rPr>
                <w:b w:val="false"/>
                <w:bCs w:val="false"/>
                <w:sz w:val="20"/>
                <w:szCs w:val="20"/>
              </w:rPr>
              <w:t xml:space="preserve">77.8</w:t>
            </w:r>
          </w:p>
        </w:tc>
        <w:tc>
          <w:tcPr>
            <w:tcW w:type="dxa" w:w="900"/>
            <w:shd w:fill="FFFFFF" w:val="clear"/>
            <w:tcMar>
              <w:top w:type="dxa" w:w="100"/>
              <w:left w:type="dxa" w:w="120"/>
              <w:bottom w:type="dxa" w:w="100"/>
              <w:right w:type="dxa" w:w="120"/>
            </w:tcMar>
          </w:tcPr>
          <w:p>
            <w:r>
              <w:rPr>
                <w:b w:val="false"/>
                <w:bCs w:val="false"/>
                <w:sz w:val="20"/>
                <w:szCs w:val="20"/>
              </w:rPr>
              <w:t xml:space="preserve">48.4</w:t>
            </w:r>
          </w:p>
        </w:tc>
        <w:tc>
          <w:tcPr>
            <w:tcW w:type="dxa" w:w="900"/>
            <w:shd w:fill="FFFFFF" w:val="clear"/>
            <w:tcMar>
              <w:top w:type="dxa" w:w="100"/>
              <w:left w:type="dxa" w:w="120"/>
              <w:bottom w:type="dxa" w:w="100"/>
              <w:right w:type="dxa" w:w="120"/>
            </w:tcMar>
          </w:tcPr>
          <w:p>
            <w:r>
              <w:rPr>
                <w:b w:val="false"/>
                <w:bCs w:val="false"/>
                <w:sz w:val="20"/>
                <w:szCs w:val="20"/>
              </w:rPr>
              <w:t xml:space="preserve">19.8</w:t>
            </w:r>
          </w:p>
        </w:tc>
        <w:tc>
          <w:tcPr>
            <w:tcW w:type="dxa" w:w="1300"/>
            <w:shd w:fill="FFFFFF" w:val="clear"/>
            <w:tcMar>
              <w:top w:type="dxa" w:w="100"/>
              <w:left w:type="dxa" w:w="120"/>
              <w:bottom w:type="dxa" w:w="100"/>
              <w:right w:type="dxa" w:w="120"/>
            </w:tcMar>
          </w:tcPr>
          <w:p>
            <w:r>
              <w:rPr>
                <w:b w:val="false"/>
                <w:bCs w:val="false"/>
                <w:sz w:val="20"/>
                <w:szCs w:val="20"/>
              </w:rPr>
              <w:t xml:space="preserve">22.4</w:t>
            </w:r>
          </w:p>
        </w:tc>
        <w:tc>
          <w:tcPr>
            <w:tcW w:type="dxa" w:w="1300"/>
            <w:shd w:fill="FFFFFF" w:val="clear"/>
            <w:tcMar>
              <w:top w:type="dxa" w:w="100"/>
              <w:left w:type="dxa" w:w="120"/>
              <w:bottom w:type="dxa" w:w="100"/>
              <w:right w:type="dxa" w:w="120"/>
            </w:tcMar>
          </w:tcPr>
          <w:p>
            <w:r>
              <w:rPr>
                <w:b w:val="false"/>
                <w:bCs w:val="false"/>
                <w:sz w:val="20"/>
                <w:szCs w:val="20"/>
              </w:rPr>
              <w:t xml:space="preserve">65.1</w:t>
            </w:r>
          </w:p>
        </w:tc>
        <w:tc>
          <w:tcPr>
            <w:tcW w:type="dxa" w:w="900"/>
            <w:shd w:fill="FFFFFF" w:val="clear"/>
            <w:tcMar>
              <w:top w:type="dxa" w:w="100"/>
              <w:left w:type="dxa" w:w="120"/>
              <w:bottom w:type="dxa" w:w="100"/>
              <w:right w:type="dxa" w:w="120"/>
            </w:tcMar>
          </w:tcPr>
          <w:p>
            <w:r>
              <w:rPr>
                <w:b w:val="false"/>
                <w:bCs w:val="false"/>
                <w:sz w:val="20"/>
                <w:szCs w:val="20"/>
              </w:rPr>
              <w:t xml:space="preserve">6.2</w:t>
            </w:r>
          </w:p>
        </w:tc>
        <w:tc>
          <w:tcPr>
            <w:tcW w:type="dxa" w:w="1300"/>
            <w:shd w:fill="FFFFFF" w:val="clear"/>
            <w:tcMar>
              <w:top w:type="dxa" w:w="100"/>
              <w:left w:type="dxa" w:w="120"/>
              <w:bottom w:type="dxa" w:w="100"/>
              <w:right w:type="dxa" w:w="120"/>
            </w:tcMar>
          </w:tcPr>
          <w:p>
            <w:r>
              <w:rPr>
                <w:b w:val="false"/>
                <w:bCs w:val="false"/>
                <w:sz w:val="20"/>
                <w:szCs w:val="20"/>
              </w:rPr>
              <w:t xml:space="preserve">84.8</w:t>
            </w:r>
          </w:p>
        </w:tc>
      </w:tr>
      <w:tr>
        <w:tc>
          <w:tcPr>
            <w:tcW w:type="dxa" w:w="1300"/>
            <w:shd w:fill="F5F5F5" w:val="clear"/>
            <w:tcMar>
              <w:top w:type="dxa" w:w="100"/>
              <w:left w:type="dxa" w:w="120"/>
              <w:bottom w:type="dxa" w:w="100"/>
              <w:right w:type="dxa" w:w="120"/>
            </w:tcMar>
          </w:tcPr>
          <w:p>
            <w:r>
              <w:rPr>
                <w:b w:val="false"/>
                <w:bCs w:val="false"/>
                <w:sz w:val="20"/>
                <w:szCs w:val="20"/>
              </w:rPr>
              <w:t xml:space="preserve">Cotton</w:t>
            </w:r>
          </w:p>
        </w:tc>
        <w:tc>
          <w:tcPr>
            <w:tcW w:type="dxa" w:w="900"/>
            <w:shd w:fill="F5F5F5" w:val="clear"/>
            <w:tcMar>
              <w:top w:type="dxa" w:w="100"/>
              <w:left w:type="dxa" w:w="120"/>
              <w:bottom w:type="dxa" w:w="100"/>
              <w:right w:type="dxa" w:w="120"/>
            </w:tcMar>
          </w:tcPr>
          <w:p>
            <w:r>
              <w:rPr>
                <w:b w:val="false"/>
                <w:bCs w:val="false"/>
                <w:sz w:val="20"/>
                <w:szCs w:val="20"/>
              </w:rPr>
              <w:t xml:space="preserve">117.8</w:t>
            </w:r>
          </w:p>
        </w:tc>
        <w:tc>
          <w:tcPr>
            <w:tcW w:type="dxa" w:w="900"/>
            <w:shd w:fill="F5F5F5" w:val="clear"/>
            <w:tcMar>
              <w:top w:type="dxa" w:w="100"/>
              <w:left w:type="dxa" w:w="120"/>
              <w:bottom w:type="dxa" w:w="100"/>
              <w:right w:type="dxa" w:w="120"/>
            </w:tcMar>
          </w:tcPr>
          <w:p>
            <w:r>
              <w:rPr>
                <w:b w:val="false"/>
                <w:bCs w:val="false"/>
                <w:sz w:val="20"/>
                <w:szCs w:val="20"/>
              </w:rPr>
              <w:t xml:space="preserve">46.2</w:t>
            </w:r>
          </w:p>
        </w:tc>
        <w:tc>
          <w:tcPr>
            <w:tcW w:type="dxa" w:w="900"/>
            <w:shd w:fill="F5F5F5" w:val="clear"/>
            <w:tcMar>
              <w:top w:type="dxa" w:w="100"/>
              <w:left w:type="dxa" w:w="120"/>
              <w:bottom w:type="dxa" w:w="100"/>
              <w:right w:type="dxa" w:w="120"/>
            </w:tcMar>
          </w:tcPr>
          <w:p>
            <w:r>
              <w:rPr>
                <w:b w:val="false"/>
                <w:bCs w:val="false"/>
                <w:sz w:val="20"/>
                <w:szCs w:val="20"/>
              </w:rPr>
              <w:t xml:space="preserve">19.6</w:t>
            </w:r>
          </w:p>
        </w:tc>
        <w:tc>
          <w:tcPr>
            <w:tcW w:type="dxa" w:w="1300"/>
            <w:shd w:fill="F5F5F5" w:val="clear"/>
            <w:tcMar>
              <w:top w:type="dxa" w:w="100"/>
              <w:left w:type="dxa" w:w="120"/>
              <w:bottom w:type="dxa" w:w="100"/>
              <w:right w:type="dxa" w:w="120"/>
            </w:tcMar>
          </w:tcPr>
          <w:p>
            <w:r>
              <w:rPr>
                <w:b w:val="false"/>
                <w:bCs w:val="false"/>
                <w:sz w:val="20"/>
                <w:szCs w:val="20"/>
              </w:rPr>
              <w:t xml:space="preserve">24.0</w:t>
            </w:r>
          </w:p>
        </w:tc>
        <w:tc>
          <w:tcPr>
            <w:tcW w:type="dxa" w:w="1300"/>
            <w:shd w:fill="F5F5F5" w:val="clear"/>
            <w:tcMar>
              <w:top w:type="dxa" w:w="100"/>
              <w:left w:type="dxa" w:w="120"/>
              <w:bottom w:type="dxa" w:w="100"/>
              <w:right w:type="dxa" w:w="120"/>
            </w:tcMar>
          </w:tcPr>
          <w:p>
            <w:r>
              <w:rPr>
                <w:b w:val="false"/>
                <w:bCs w:val="false"/>
                <w:sz w:val="20"/>
                <w:szCs w:val="20"/>
              </w:rPr>
              <w:t xml:space="preserve">79.8</w:t>
            </w:r>
          </w:p>
        </w:tc>
        <w:tc>
          <w:tcPr>
            <w:tcW w:type="dxa" w:w="900"/>
            <w:shd w:fill="F5F5F5" w:val="clear"/>
            <w:tcMar>
              <w:top w:type="dxa" w:w="100"/>
              <w:left w:type="dxa" w:w="120"/>
              <w:bottom w:type="dxa" w:w="100"/>
              <w:right w:type="dxa" w:w="120"/>
            </w:tcMar>
          </w:tcPr>
          <w:p>
            <w:r>
              <w:rPr>
                <w:b w:val="false"/>
                <w:bCs w:val="false"/>
                <w:sz w:val="20"/>
                <w:szCs w:val="20"/>
              </w:rPr>
              <w:t xml:space="preserve">6.9</w:t>
            </w:r>
          </w:p>
        </w:tc>
        <w:tc>
          <w:tcPr>
            <w:tcW w:type="dxa" w:w="1300"/>
            <w:shd w:fill="F5F5F5" w:val="clear"/>
            <w:tcMar>
              <w:top w:type="dxa" w:w="100"/>
              <w:left w:type="dxa" w:w="120"/>
              <w:bottom w:type="dxa" w:w="100"/>
              <w:right w:type="dxa" w:w="120"/>
            </w:tcMar>
          </w:tcPr>
          <w:p>
            <w:r>
              <w:rPr>
                <w:b w:val="false"/>
                <w:bCs w:val="false"/>
                <w:sz w:val="20"/>
                <w:szCs w:val="20"/>
              </w:rPr>
              <w:t xml:space="preserve">80.4</w:t>
            </w:r>
          </w:p>
        </w:tc>
      </w:tr>
      <w:tr>
        <w:tc>
          <w:tcPr>
            <w:tcW w:type="dxa" w:w="1300"/>
            <w:shd w:fill="FFFFFF" w:val="clear"/>
            <w:tcMar>
              <w:top w:type="dxa" w:w="100"/>
              <w:left w:type="dxa" w:w="120"/>
              <w:bottom w:type="dxa" w:w="100"/>
              <w:right w:type="dxa" w:w="120"/>
            </w:tcMar>
          </w:tcPr>
          <w:p>
            <w:r>
              <w:rPr>
                <w:b w:val="false"/>
                <w:bCs w:val="false"/>
                <w:sz w:val="20"/>
                <w:szCs w:val="20"/>
              </w:rPr>
              <w:t xml:space="preserve">Coffee</w:t>
            </w:r>
          </w:p>
        </w:tc>
        <w:tc>
          <w:tcPr>
            <w:tcW w:type="dxa" w:w="900"/>
            <w:shd w:fill="FFFFFF" w:val="clear"/>
            <w:tcMar>
              <w:top w:type="dxa" w:w="100"/>
              <w:left w:type="dxa" w:w="120"/>
              <w:bottom w:type="dxa" w:w="100"/>
              <w:right w:type="dxa" w:w="120"/>
            </w:tcMar>
          </w:tcPr>
          <w:p>
            <w:r>
              <w:rPr>
                <w:b w:val="false"/>
                <w:bCs w:val="false"/>
                <w:sz w:val="20"/>
                <w:szCs w:val="20"/>
              </w:rPr>
              <w:t xml:space="preserve">101.2</w:t>
            </w:r>
          </w:p>
        </w:tc>
        <w:tc>
          <w:tcPr>
            <w:tcW w:type="dxa" w:w="900"/>
            <w:shd w:fill="FFFFFF" w:val="clear"/>
            <w:tcMar>
              <w:top w:type="dxa" w:w="100"/>
              <w:left w:type="dxa" w:w="120"/>
              <w:bottom w:type="dxa" w:w="100"/>
              <w:right w:type="dxa" w:w="120"/>
            </w:tcMar>
          </w:tcPr>
          <w:p>
            <w:r>
              <w:rPr>
                <w:b w:val="false"/>
                <w:bCs w:val="false"/>
                <w:sz w:val="20"/>
                <w:szCs w:val="20"/>
              </w:rPr>
              <w:t xml:space="preserve">28.7</w:t>
            </w:r>
          </w:p>
        </w:tc>
        <w:tc>
          <w:tcPr>
            <w:tcW w:type="dxa" w:w="900"/>
            <w:shd w:fill="FFFFFF" w:val="clear"/>
            <w:tcMar>
              <w:top w:type="dxa" w:w="100"/>
              <w:left w:type="dxa" w:w="120"/>
              <w:bottom w:type="dxa" w:w="100"/>
              <w:right w:type="dxa" w:w="120"/>
            </w:tcMar>
          </w:tcPr>
          <w:p>
            <w:r>
              <w:rPr>
                <w:b w:val="false"/>
                <w:bCs w:val="false"/>
                <w:sz w:val="20"/>
                <w:szCs w:val="20"/>
              </w:rPr>
              <w:t xml:space="preserve">29.9</w:t>
            </w:r>
          </w:p>
        </w:tc>
        <w:tc>
          <w:tcPr>
            <w:tcW w:type="dxa" w:w="1300"/>
            <w:shd w:fill="FFFFFF" w:val="clear"/>
            <w:tcMar>
              <w:top w:type="dxa" w:w="100"/>
              <w:left w:type="dxa" w:w="120"/>
              <w:bottom w:type="dxa" w:w="100"/>
              <w:right w:type="dxa" w:w="120"/>
            </w:tcMar>
          </w:tcPr>
          <w:p>
            <w:r>
              <w:rPr>
                <w:b w:val="false"/>
                <w:bCs w:val="false"/>
                <w:sz w:val="20"/>
                <w:szCs w:val="20"/>
              </w:rPr>
              <w:t xml:space="preserve">25.5</w:t>
            </w:r>
          </w:p>
        </w:tc>
        <w:tc>
          <w:tcPr>
            <w:tcW w:type="dxa" w:w="1300"/>
            <w:shd w:fill="FFFFFF" w:val="clear"/>
            <w:tcMar>
              <w:top w:type="dxa" w:w="100"/>
              <w:left w:type="dxa" w:w="120"/>
              <w:bottom w:type="dxa" w:w="100"/>
              <w:right w:type="dxa" w:w="120"/>
            </w:tcMar>
          </w:tcPr>
          <w:p>
            <w:r>
              <w:rPr>
                <w:b w:val="false"/>
                <w:bCs w:val="false"/>
                <w:sz w:val="20"/>
                <w:szCs w:val="20"/>
              </w:rPr>
              <w:t xml:space="preserve">58.9</w:t>
            </w:r>
          </w:p>
        </w:tc>
        <w:tc>
          <w:tcPr>
            <w:tcW w:type="dxa" w:w="900"/>
            <w:shd w:fill="FFFFFF" w:val="clear"/>
            <w:tcMar>
              <w:top w:type="dxa" w:w="100"/>
              <w:left w:type="dxa" w:w="120"/>
              <w:bottom w:type="dxa" w:w="100"/>
              <w:right w:type="dxa" w:w="120"/>
            </w:tcMar>
          </w:tcPr>
          <w:p>
            <w:r>
              <w:rPr>
                <w:b w:val="false"/>
                <w:bCs w:val="false"/>
                <w:sz w:val="20"/>
                <w:szCs w:val="20"/>
              </w:rPr>
              <w:t xml:space="preserve">6.8</w:t>
            </w:r>
          </w:p>
        </w:tc>
        <w:tc>
          <w:tcPr>
            <w:tcW w:type="dxa" w:w="1300"/>
            <w:shd w:fill="FFFFFF" w:val="clear"/>
            <w:tcMar>
              <w:top w:type="dxa" w:w="100"/>
              <w:left w:type="dxa" w:w="120"/>
              <w:bottom w:type="dxa" w:w="100"/>
              <w:right w:type="dxa" w:w="120"/>
            </w:tcMar>
          </w:tcPr>
          <w:p>
            <w:r>
              <w:rPr>
                <w:b w:val="false"/>
                <w:bCs w:val="false"/>
                <w:sz w:val="20"/>
                <w:szCs w:val="20"/>
              </w:rPr>
              <w:t xml:space="preserve">158.1</w:t>
            </w:r>
          </w:p>
        </w:tc>
      </w:tr>
      <w:tr>
        <w:tc>
          <w:tcPr>
            <w:tcW w:type="dxa" w:w="1300"/>
            <w:shd w:fill="F5F5F5" w:val="clear"/>
            <w:tcMar>
              <w:top w:type="dxa" w:w="100"/>
              <w:left w:type="dxa" w:w="120"/>
              <w:bottom w:type="dxa" w:w="100"/>
              <w:right w:type="dxa" w:w="120"/>
            </w:tcMar>
          </w:tcPr>
          <w:p>
            <w:r>
              <w:rPr>
                <w:b w:val="false"/>
                <w:bCs w:val="false"/>
                <w:sz w:val="20"/>
                <w:szCs w:val="20"/>
              </w:rPr>
              <w:t xml:space="preserve">Banana</w:t>
            </w:r>
          </w:p>
        </w:tc>
        <w:tc>
          <w:tcPr>
            <w:tcW w:type="dxa" w:w="900"/>
            <w:shd w:fill="F5F5F5" w:val="clear"/>
            <w:tcMar>
              <w:top w:type="dxa" w:w="100"/>
              <w:left w:type="dxa" w:w="120"/>
              <w:bottom w:type="dxa" w:w="100"/>
              <w:right w:type="dxa" w:w="120"/>
            </w:tcMar>
          </w:tcPr>
          <w:p>
            <w:r>
              <w:rPr>
                <w:b w:val="false"/>
                <w:bCs w:val="false"/>
                <w:sz w:val="20"/>
                <w:szCs w:val="20"/>
              </w:rPr>
              <w:t xml:space="preserve">100.2</w:t>
            </w:r>
          </w:p>
        </w:tc>
        <w:tc>
          <w:tcPr>
            <w:tcW w:type="dxa" w:w="900"/>
            <w:shd w:fill="F5F5F5" w:val="clear"/>
            <w:tcMar>
              <w:top w:type="dxa" w:w="100"/>
              <w:left w:type="dxa" w:w="120"/>
              <w:bottom w:type="dxa" w:w="100"/>
              <w:right w:type="dxa" w:w="120"/>
            </w:tcMar>
          </w:tcPr>
          <w:p>
            <w:r>
              <w:rPr>
                <w:b w:val="false"/>
                <w:bCs w:val="false"/>
                <w:sz w:val="20"/>
                <w:szCs w:val="20"/>
              </w:rPr>
              <w:t xml:space="preserve">82.0</w:t>
            </w:r>
          </w:p>
        </w:tc>
        <w:tc>
          <w:tcPr>
            <w:tcW w:type="dxa" w:w="900"/>
            <w:shd w:fill="F5F5F5" w:val="clear"/>
            <w:tcMar>
              <w:top w:type="dxa" w:w="100"/>
              <w:left w:type="dxa" w:w="120"/>
              <w:bottom w:type="dxa" w:w="100"/>
              <w:right w:type="dxa" w:w="120"/>
            </w:tcMar>
          </w:tcPr>
          <w:p>
            <w:r>
              <w:rPr>
                <w:b w:val="false"/>
                <w:bCs w:val="false"/>
                <w:sz w:val="20"/>
                <w:szCs w:val="20"/>
              </w:rPr>
              <w:t xml:space="preserve">50.0</w:t>
            </w:r>
          </w:p>
        </w:tc>
        <w:tc>
          <w:tcPr>
            <w:tcW w:type="dxa" w:w="1300"/>
            <w:shd w:fill="F5F5F5" w:val="clear"/>
            <w:tcMar>
              <w:top w:type="dxa" w:w="100"/>
              <w:left w:type="dxa" w:w="120"/>
              <w:bottom w:type="dxa" w:w="100"/>
              <w:right w:type="dxa" w:w="120"/>
            </w:tcMar>
          </w:tcPr>
          <w:p>
            <w:r>
              <w:rPr>
                <w:b w:val="false"/>
                <w:bCs w:val="false"/>
                <w:sz w:val="20"/>
                <w:szCs w:val="20"/>
              </w:rPr>
              <w:t xml:space="preserve">27.4</w:t>
            </w:r>
          </w:p>
        </w:tc>
        <w:tc>
          <w:tcPr>
            <w:tcW w:type="dxa" w:w="1300"/>
            <w:shd w:fill="F5F5F5" w:val="clear"/>
            <w:tcMar>
              <w:top w:type="dxa" w:w="100"/>
              <w:left w:type="dxa" w:w="120"/>
              <w:bottom w:type="dxa" w:w="100"/>
              <w:right w:type="dxa" w:w="120"/>
            </w:tcMar>
          </w:tcPr>
          <w:p>
            <w:r>
              <w:rPr>
                <w:b w:val="false"/>
                <w:bCs w:val="false"/>
                <w:sz w:val="20"/>
                <w:szCs w:val="20"/>
              </w:rPr>
              <w:t xml:space="preserve">80.4</w:t>
            </w:r>
          </w:p>
        </w:tc>
        <w:tc>
          <w:tcPr>
            <w:tcW w:type="dxa" w:w="900"/>
            <w:shd w:fill="F5F5F5" w:val="clear"/>
            <w:tcMar>
              <w:top w:type="dxa" w:w="100"/>
              <w:left w:type="dxa" w:w="120"/>
              <w:bottom w:type="dxa" w:w="100"/>
              <w:right w:type="dxa" w:w="120"/>
            </w:tcMar>
          </w:tcPr>
          <w:p>
            <w:r>
              <w:rPr>
                <w:b w:val="false"/>
                <w:bCs w:val="false"/>
                <w:sz w:val="20"/>
                <w:szCs w:val="20"/>
              </w:rPr>
              <w:t xml:space="preserve">6.0</w:t>
            </w:r>
          </w:p>
        </w:tc>
        <w:tc>
          <w:tcPr>
            <w:tcW w:type="dxa" w:w="1300"/>
            <w:shd w:fill="F5F5F5" w:val="clear"/>
            <w:tcMar>
              <w:top w:type="dxa" w:w="100"/>
              <w:left w:type="dxa" w:w="120"/>
              <w:bottom w:type="dxa" w:w="100"/>
              <w:right w:type="dxa" w:w="120"/>
            </w:tcMar>
          </w:tcPr>
          <w:p>
            <w:r>
              <w:rPr>
                <w:b w:val="false"/>
                <w:bCs w:val="false"/>
                <w:sz w:val="20"/>
                <w:szCs w:val="20"/>
              </w:rPr>
              <w:t xml:space="preserve">104.6</w:t>
            </w:r>
          </w:p>
        </w:tc>
      </w:tr>
      <w:tr>
        <w:tc>
          <w:tcPr>
            <w:tcW w:type="dxa" w:w="1300"/>
            <w:shd w:fill="FFFFFF" w:val="clear"/>
            <w:tcMar>
              <w:top w:type="dxa" w:w="100"/>
              <w:left w:type="dxa" w:w="120"/>
              <w:bottom w:type="dxa" w:w="100"/>
              <w:right w:type="dxa" w:w="120"/>
            </w:tcMar>
          </w:tcPr>
          <w:p>
            <w:r>
              <w:rPr>
                <w:b w:val="false"/>
                <w:bCs w:val="false"/>
                <w:sz w:val="20"/>
                <w:szCs w:val="20"/>
              </w:rPr>
              <w:t xml:space="preserve">Chickpea</w:t>
            </w:r>
          </w:p>
        </w:tc>
        <w:tc>
          <w:tcPr>
            <w:tcW w:type="dxa" w:w="900"/>
            <w:shd w:fill="FFFFFF" w:val="clear"/>
            <w:tcMar>
              <w:top w:type="dxa" w:w="100"/>
              <w:left w:type="dxa" w:w="120"/>
              <w:bottom w:type="dxa" w:w="100"/>
              <w:right w:type="dxa" w:w="120"/>
            </w:tcMar>
          </w:tcPr>
          <w:p>
            <w:r>
              <w:rPr>
                <w:b w:val="false"/>
                <w:bCs w:val="false"/>
                <w:sz w:val="20"/>
                <w:szCs w:val="20"/>
              </w:rPr>
              <w:t xml:space="preserve">40.1</w:t>
            </w:r>
          </w:p>
        </w:tc>
        <w:tc>
          <w:tcPr>
            <w:tcW w:type="dxa" w:w="900"/>
            <w:shd w:fill="FFFFFF" w:val="clear"/>
            <w:tcMar>
              <w:top w:type="dxa" w:w="100"/>
              <w:left w:type="dxa" w:w="120"/>
              <w:bottom w:type="dxa" w:w="100"/>
              <w:right w:type="dxa" w:w="120"/>
            </w:tcMar>
          </w:tcPr>
          <w:p>
            <w:r>
              <w:rPr>
                <w:b w:val="false"/>
                <w:bCs w:val="false"/>
                <w:sz w:val="20"/>
                <w:szCs w:val="20"/>
              </w:rPr>
              <w:t xml:space="preserve">67.8</w:t>
            </w:r>
          </w:p>
        </w:tc>
        <w:tc>
          <w:tcPr>
            <w:tcW w:type="dxa" w:w="900"/>
            <w:shd w:fill="FFFFFF" w:val="clear"/>
            <w:tcMar>
              <w:top w:type="dxa" w:w="100"/>
              <w:left w:type="dxa" w:w="120"/>
              <w:bottom w:type="dxa" w:w="100"/>
              <w:right w:type="dxa" w:w="120"/>
            </w:tcMar>
          </w:tcPr>
          <w:p>
            <w:r>
              <w:rPr>
                <w:b w:val="false"/>
                <w:bCs w:val="false"/>
                <w:sz w:val="20"/>
                <w:szCs w:val="20"/>
              </w:rPr>
              <w:t xml:space="preserve">79.9</w:t>
            </w:r>
          </w:p>
        </w:tc>
        <w:tc>
          <w:tcPr>
            <w:tcW w:type="dxa" w:w="1300"/>
            <w:shd w:fill="FFFFFF" w:val="clear"/>
            <w:tcMar>
              <w:top w:type="dxa" w:w="100"/>
              <w:left w:type="dxa" w:w="120"/>
              <w:bottom w:type="dxa" w:w="100"/>
              <w:right w:type="dxa" w:w="120"/>
            </w:tcMar>
          </w:tcPr>
          <w:p>
            <w:r>
              <w:rPr>
                <w:b w:val="false"/>
                <w:bCs w:val="false"/>
                <w:sz w:val="20"/>
                <w:szCs w:val="20"/>
              </w:rPr>
              <w:t xml:space="preserve">18.9</w:t>
            </w:r>
          </w:p>
        </w:tc>
        <w:tc>
          <w:tcPr>
            <w:tcW w:type="dxa" w:w="1300"/>
            <w:shd w:fill="FFFFFF" w:val="clear"/>
            <w:tcMar>
              <w:top w:type="dxa" w:w="100"/>
              <w:left w:type="dxa" w:w="120"/>
              <w:bottom w:type="dxa" w:w="100"/>
              <w:right w:type="dxa" w:w="120"/>
            </w:tcMar>
          </w:tcPr>
          <w:p>
            <w:r>
              <w:rPr>
                <w:b w:val="false"/>
                <w:bCs w:val="false"/>
                <w:sz w:val="20"/>
                <w:szCs w:val="20"/>
              </w:rPr>
              <w:t xml:space="preserve">16.9</w:t>
            </w:r>
          </w:p>
        </w:tc>
        <w:tc>
          <w:tcPr>
            <w:tcW w:type="dxa" w:w="900"/>
            <w:shd w:fill="FFFFFF" w:val="clear"/>
            <w:tcMar>
              <w:top w:type="dxa" w:w="100"/>
              <w:left w:type="dxa" w:w="120"/>
              <w:bottom w:type="dxa" w:w="100"/>
              <w:right w:type="dxa" w:w="120"/>
            </w:tcMar>
          </w:tcPr>
          <w:p>
            <w:r>
              <w:rPr>
                <w:b w:val="false"/>
                <w:bCs w:val="false"/>
                <w:sz w:val="20"/>
                <w:szCs w:val="20"/>
              </w:rPr>
              <w:t xml:space="preserve">7.3</w:t>
            </w:r>
          </w:p>
        </w:tc>
        <w:tc>
          <w:tcPr>
            <w:tcW w:type="dxa" w:w="1300"/>
            <w:shd w:fill="FFFFFF" w:val="clear"/>
            <w:tcMar>
              <w:top w:type="dxa" w:w="100"/>
              <w:left w:type="dxa" w:w="120"/>
              <w:bottom w:type="dxa" w:w="100"/>
              <w:right w:type="dxa" w:w="120"/>
            </w:tcMar>
          </w:tcPr>
          <w:p>
            <w:r>
              <w:rPr>
                <w:b w:val="false"/>
                <w:bCs w:val="false"/>
                <w:sz w:val="20"/>
                <w:szCs w:val="20"/>
              </w:rPr>
              <w:t xml:space="preserve">80.1</w:t>
            </w:r>
          </w:p>
        </w:tc>
      </w:tr>
    </w:tbl>
    <w:p>
      <w:pPr>
        <w:spacing w:before="200"/>
      </w:pPr>
    </w:p>
    <w:p>
      <w:pPr>
        <w:spacing w:after="60"/>
        <w:jc w:val="center"/>
      </w:pPr>
      <w:r>
        <w:drawing>
          <wp:inline distT="0" distB="0" distL="0" distR="0">
            <wp:extent cx="4572000" cy="28346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834640"/>
                    </a:xfrm>
                    <a:prstGeom prst="rect">
                      <a:avLst/>
                    </a:prstGeom>
                  </pic:spPr>
                </pic:pic>
              </a:graphicData>
            </a:graphic>
          </wp:inline>
        </w:drawing>
      </w:r>
    </w:p>
    <w:p>
      <w:pPr>
        <w:spacing w:after="240"/>
        <w:jc w:val="center"/>
      </w:pPr>
      <w:r>
        <w:rPr>
          <w:i/>
          <w:iCs/>
          <w:color w:val="555555"/>
          <w:sz w:val="20"/>
          <w:szCs w:val="20"/>
        </w:rPr>
        <w:t xml:space="preserve">Figure 1. Rice and coffee require substantially more rainfall than chickpea or cotton, confirming these datasets can meaningfully differentiate irrigation needs by crop.</w:t>
      </w:r>
    </w:p>
    <w:p>
      <w:pPr>
        <w:spacing w:after="60"/>
        <w:jc w:val="center"/>
      </w:pPr>
      <w:r>
        <w:drawing>
          <wp:inline distT="0" distB="0" distL="0" distR="0">
            <wp:extent cx="4000500" cy="24803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480310"/>
                    </a:xfrm>
                    <a:prstGeom prst="rect">
                      <a:avLst/>
                    </a:prstGeom>
                  </pic:spPr>
                </pic:pic>
              </a:graphicData>
            </a:graphic>
          </wp:inline>
        </w:drawing>
      </w:r>
    </w:p>
    <w:p>
      <w:pPr>
        <w:spacing w:after="240"/>
        <w:jc w:val="center"/>
      </w:pPr>
      <w:r>
        <w:rPr>
          <w:i/>
          <w:iCs/>
          <w:color w:val="555555"/>
          <w:sz w:val="20"/>
          <w:szCs w:val="20"/>
        </w:rPr>
        <w:t xml:space="preserve">Figure 2. Correlation matrix of soil and climate variables. N, P, and K show weak correlation with each other, all under 0.25 in magnitude, meaning each nutrient carries independent signal rather than duplicating information. That is useful to know before feeding these into a future prediction model.</w:t>
      </w:r>
    </w:p>
    <w:p>
      <w:pPr>
        <w:pStyle w:val="Heading2"/>
        <w:spacing w:after="120" w:before="280"/>
      </w:pPr>
      <w:r>
        <w:rPr>
          <w:b/>
          <w:bCs/>
          <w:color w:val="1B5E20"/>
          <w:sz w:val="24"/>
          <w:szCs w:val="24"/>
        </w:rPr>
        <w:t xml:space="preserve">3.2 National Yield Trends, 2010–2017</w:t>
      </w:r>
    </w:p>
    <w:p>
      <w:pPr>
        <w:spacing w:after="60"/>
        <w:jc w:val="center"/>
      </w:pPr>
      <w:r>
        <w:drawing>
          <wp:inline distT="0" distB="0" distL="0" distR="0">
            <wp:extent cx="4572000" cy="28346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834640"/>
                    </a:xfrm>
                    <a:prstGeom prst="rect">
                      <a:avLst/>
                    </a:prstGeom>
                  </pic:spPr>
                </pic:pic>
              </a:graphicData>
            </a:graphic>
          </wp:inline>
        </w:drawing>
      </w:r>
    </w:p>
    <w:p>
      <w:pPr>
        <w:spacing w:after="240"/>
        <w:jc w:val="center"/>
      </w:pPr>
      <w:r>
        <w:rPr>
          <w:i/>
          <w:iCs/>
          <w:color w:val="555555"/>
          <w:sz w:val="20"/>
          <w:szCs w:val="20"/>
        </w:rPr>
        <w:t xml:space="preserve">Figure 3. Average rice yield rose from ~2,046 to ~2,473 Kg/ha (+20.9%), and wheat from ~2,356 to ~2,799 Kg/ha (+18.8%), over the eight-year window. This is consistent with the broader precision-agriculture adoption trend cited in the Week 1 report.</w:t>
      </w:r>
    </w:p>
    <w:p>
      <w:pPr>
        <w:spacing w:after="160" w:line="276"/>
      </w:pPr>
      <w:r>
        <w:rPr>
          <w:sz w:val="22"/>
          <w:szCs w:val="22"/>
        </w:rPr>
        <w:t xml:space="preserve">This upward trend holds despite year-to-year dips, such as in 2015. It supports the Week 1 business question of how a season compares to prior seasons: a dashboard user would want exactly this kind of multi-year baseline to judge whether the current season is under- or over-performing.</w:t>
      </w:r>
    </w:p>
    <w:p>
      <w:pPr>
        <w:pStyle w:val="Heading2"/>
        <w:spacing w:after="120" w:before="280"/>
      </w:pPr>
      <w:r>
        <w:rPr>
          <w:b/>
          <w:bCs/>
          <w:color w:val="1B5E20"/>
          <w:sz w:val="24"/>
          <w:szCs w:val="24"/>
        </w:rPr>
        <w:t xml:space="preserve">3.3 State-Level Variation</w:t>
      </w:r>
    </w:p>
    <w:p>
      <w:pPr>
        <w:spacing w:after="60"/>
        <w:jc w:val="center"/>
      </w:pPr>
      <w:r>
        <w:drawing>
          <wp:inline distT="0" distB="0" distL="0" distR="0">
            <wp:extent cx="4572000" cy="28346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34640"/>
                    </a:xfrm>
                    <a:prstGeom prst="rect">
                      <a:avLst/>
                    </a:prstGeom>
                  </pic:spPr>
                </pic:pic>
              </a:graphicData>
            </a:graphic>
          </wp:inline>
        </w:drawing>
      </w:r>
    </w:p>
    <w:p>
      <w:pPr>
        <w:spacing w:after="240"/>
        <w:jc w:val="center"/>
      </w:pPr>
      <w:r>
        <w:rPr>
          <w:i/>
          <w:iCs/>
          <w:color w:val="555555"/>
          <w:sz w:val="20"/>
          <w:szCs w:val="20"/>
        </w:rPr>
        <w:t xml:space="preserve">Figure 4. Tamil Nadu and Punjab lead in average rice yield (~3,940 and ~3,920 Kg/ha), more than double Maharashtra's ~1,400 Kg/ha. That is nearly a 3× gap between the highest- and lowest-yield states in the same eight-year window.</w:t>
      </w:r>
    </w:p>
    <w:p>
      <w:pPr>
        <w:spacing w:after="160" w:line="276"/>
      </w:pPr>
      <w:r>
        <w:rPr>
          <w:sz w:val="22"/>
          <w:szCs w:val="22"/>
        </w:rPr>
        <w:t xml:space="preserve">This spread is the clearest evidence in the data for the Week 1 KPI on which fields deliver the best return relative to input cost. Geography alone explains a large share of yield variation. Any dashboard benchmarking a farmer's yield should therefore compare against a regional baseline, not a flat national average.</w:t>
      </w:r>
    </w:p>
    <w:p>
      <w:pPr>
        <w:pStyle w:val="Heading1"/>
        <w:pBdr>
          <w:bottom w:val="single" w:color="2E7D32" w:sz="8" w:space="4"/>
        </w:pBdr>
        <w:spacing w:after="160" w:before="360"/>
      </w:pPr>
      <w:r>
        <w:rPr>
          <w:b/>
          <w:bCs/>
          <w:color w:val="2E7D32"/>
          <w:sz w:val="30"/>
          <w:szCs w:val="30"/>
        </w:rPr>
        <w:t xml:space="preserve">4. Conclusions</w:t>
      </w:r>
    </w:p>
    <w:p>
      <w:pPr>
        <w:pStyle w:val="ListParagraph"/>
        <w:numPr>
          <w:ilvl w:val="0"/>
          <w:numId w:val="2"/>
        </w:numPr>
        <w:spacing w:after="80"/>
      </w:pPr>
      <w:r>
        <w:rPr>
          <w:sz w:val="22"/>
          <w:szCs w:val="22"/>
        </w:rPr>
        <w:t xml:space="preserve">Both datasets are usable as-is with minor, well-documented cleaning steps. No destructive data loss was required at this stage.</w:t>
      </w:r>
    </w:p>
    <w:p>
      <w:pPr>
        <w:pStyle w:val="ListParagraph"/>
        <w:numPr>
          <w:ilvl w:val="0"/>
          <w:numId w:val="2"/>
        </w:numPr>
        <w:spacing w:after="80"/>
      </w:pPr>
      <w:r>
        <w:rPr>
          <w:sz w:val="22"/>
          <w:szCs w:val="22"/>
        </w:rPr>
        <w:t xml:space="preserve">The main data-quality risk in agribusiness datasets is not missing values in the conventional sense. It is structural zeros and area/yield inconsistencies that require domain judgment to handle correctly.</w:t>
      </w:r>
    </w:p>
    <w:p>
      <w:pPr>
        <w:pStyle w:val="ListParagraph"/>
        <w:numPr>
          <w:ilvl w:val="0"/>
          <w:numId w:val="2"/>
        </w:numPr>
        <w:spacing w:after="80"/>
      </w:pPr>
      <w:r>
        <w:rPr>
          <w:sz w:val="22"/>
          <w:szCs w:val="22"/>
        </w:rPr>
        <w:t xml:space="preserve">Rainfall and nutrient profiles differ meaningfully by crop, and yield varies more by region than by year. Both findings directly inform which visualizations will be most useful in Week 3: crop-specific rainfall charts, state-benchmarked yield comparisons, and multi-year trend lines.</w:t>
      </w:r>
    </w:p>
    <w:p>
      <w:pPr>
        <w:pStyle w:val="ListParagraph"/>
        <w:numPr>
          <w:ilvl w:val="0"/>
          <w:numId w:val="2"/>
        </w:numPr>
        <w:spacing w:after="80"/>
      </w:pPr>
      <w:r>
        <w:rPr>
          <w:sz w:val="22"/>
          <w:szCs w:val="22"/>
        </w:rPr>
        <w:t xml:space="preserve">These two real datasets are not identical to the live satellite and IoT feeds described in the Week 1 architecture, but they are structurally analogous. That makes them sufficient to prototype the analytics and presentation layers before investing in live data pipelines.</w:t>
      </w:r>
    </w:p>
    <w:p>
      <w:pPr>
        <w:pStyle w:val="Heading1"/>
        <w:pBdr>
          <w:bottom w:val="single" w:color="2E7D32" w:sz="8" w:space="4"/>
        </w:pBdr>
        <w:spacing w:after="160" w:before="360"/>
      </w:pPr>
      <w:r>
        <w:rPr>
          <w:b/>
          <w:bCs/>
          <w:color w:val="2E7D32"/>
          <w:sz w:val="30"/>
          <w:szCs w:val="30"/>
        </w:rPr>
        <w:t xml:space="preserve">5. Data Source References</w:t>
      </w:r>
    </w:p>
    <w:p>
      <w:pPr>
        <w:spacing w:after="160" w:line="276"/>
      </w:pPr>
      <w:r>
        <w:rPr>
          <w:sz w:val="22"/>
          <w:szCs w:val="22"/>
        </w:rPr>
        <w:t xml:space="preserve">1. Crop Recommendation Dataset. Compiled agricultural dataset (soil nutrients, climate, crop label), mirrored at: https://github.com/AbhishekKandoi/Crop-Yield-Prediction-based-on-Indian-Agriculture</w:t>
      </w:r>
    </w:p>
    <w:p>
      <w:pPr>
        <w:spacing w:after="160" w:line="276"/>
      </w:pPr>
      <w:r>
        <w:rPr>
          <w:sz w:val="22"/>
          <w:szCs w:val="22"/>
        </w:rPr>
        <w:t xml:space="preserve">2. Crop Datasets for All Indian States (2010–2017), district-level area/production/yield by crop: https://github.com/nileshely/Crop-Datasets-for-All-Indian-States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06752dff6b94a0b9d00e158ce132dd48562e4e.png"/><Relationship Id="rId8" Type="http://schemas.openxmlformats.org/officeDocument/2006/relationships/image" Target="media/de694f02e0de11f4ec02ca960d45398e2e28c1de.png"/><Relationship Id="rId9" Type="http://schemas.openxmlformats.org/officeDocument/2006/relationships/image" Target="media/54034a89863111e0b742176bd1b6130b3c8b189d.png"/><Relationship Id="rId10" Type="http://schemas.openxmlformats.org/officeDocument/2006/relationships/image" Target="media/782e36a04ee26f1210fdd8d52791576bacf590b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2026-08-05T08:23:47.610Z</dcterms:created>
  <dcterms:modified xsi:type="dcterms:W3CDTF">2026-08-05T08:23:47.610Z</dcterms:modified>
</cp:coreProperties>
</file>

<file path=docProps/custom.xml><?xml version="1.0" encoding="utf-8"?>
<Properties xmlns="http://schemas.openxmlformats.org/officeDocument/2006/custom-properties" xmlns:vt="http://schemas.openxmlformats.org/officeDocument/2006/docPropsVTypes"/>
</file>