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2E7D32"/>
          <w:sz w:val="52"/>
          <w:szCs w:val="52"/>
        </w:rPr>
        <w:t xml:space="preserve">SOIL WHISPERS</w:t>
      </w:r>
    </w:p>
    <w:p>
      <w:pPr>
        <w:spacing w:after="200"/>
        <w:jc w:val="center"/>
      </w:pPr>
      <w:r>
        <w:rPr>
          <w:i/>
          <w:iCs/>
          <w:color w:val="1B5E20"/>
          <w:sz w:val="26"/>
          <w:szCs w:val="26"/>
        </w:rPr>
        <w:t xml:space="preserve">Visualization Design and Dashboard Development</w:t>
      </w:r>
    </w:p>
    <w:p>
      <w:pPr>
        <w:spacing w:after="80" w:before="400"/>
        <w:jc w:val="center"/>
      </w:pPr>
      <w:r>
        <w:rPr>
          <w:color w:val="555555"/>
          <w:sz w:val="22"/>
          <w:szCs w:val="22"/>
        </w:rPr>
        <w:t xml:space="preserve">Week 3 Deliverable: YuvaIntern Internship Program</w:t>
      </w:r>
    </w:p>
    <w:p>
      <w:pPr>
        <w:spacing w:after="80"/>
        <w:jc w:val="center"/>
      </w:pPr>
      <w:r>
        <w:rPr>
          <w:color w:val="555555"/>
          <w:sz w:val="22"/>
          <w:szCs w:val="22"/>
        </w:rPr>
        <w:t xml:space="preserve">Prepared by: Yogitha J</w:t>
      </w:r>
    </w:p>
    <w:p>
      <w:pPr>
        <w:spacing w:after="800"/>
        <w:jc w:val="center"/>
      </w:pPr>
      <w:r>
        <w:rPr>
          <w:color w:val="555555"/>
          <w:sz w:val="22"/>
          <w:szCs w:val="22"/>
        </w:rPr>
        <w:t xml:space="preserve">Date: 20 August 2026</w:t>
      </w:r>
    </w:p>
    <w:p>
      <w:r>
        <w:br w:type="page"/>
      </w:r>
    </w:p>
    <w:p>
      <w:pPr>
        <w:pStyle w:val="Heading1"/>
        <w:pBdr>
          <w:bottom w:val="single" w:color="2E7D32" w:sz="8" w:space="4"/>
        </w:pBdr>
        <w:spacing w:after="160" w:before="360"/>
      </w:pPr>
      <w:r>
        <w:rPr>
          <w:b/>
          <w:bCs/>
          <w:color w:val="2E7D32"/>
          <w:sz w:val="30"/>
          <w:szCs w:val="30"/>
        </w:rPr>
        <w:t xml:space="preserve">1. Introduction</w:t>
      </w:r>
    </w:p>
    <w:p>
      <w:pPr>
        <w:spacing w:after="160" w:line="276"/>
      </w:pPr>
      <w:r>
        <w:rPr>
          <w:sz w:val="22"/>
          <w:szCs w:val="22"/>
        </w:rPr>
        <w:t>This report documents two working implementations of the same dashboard design, not a static mockup. The first is a native Tableau Public workbook, created as the primary dashboard deliverable for the internship. The second is soil_whispers_dashboard.html, a self-contained HTML implementation developed using Plotly.js from the completed Tableau dashboard design.</w:t>
        <w:br/>
        <w:br/>
        <w:t>The development sequence was Tableau first, followed by HTML/Plotly. The Tableau Public workbook established the dashboard structure, Farmer and Agronomist views, visualization choices, filters, and analytical layout. The Plotly.js version then reproduced and extended this design as a standalone interactive web page, providing a more flexible browser-based presentation with dynamic charts and live filtering.</w:t>
      </w:r>
    </w:p>
    <w:p>
      <w:pPr>
        <w:spacing w:after="160" w:line="276"/>
      </w:pPr>
      <w:r>
        <w:rPr>
          <w:sz w:val="22"/>
          <w:szCs w:val="22"/>
        </w:rPr>
        <w:t>The internship task specified Tableau as the primary visualization platform. The dashboard was therefore first created in Tableau Public using its browser-based authoring environment. After the Tableau version was completed, the same dashboard structure and visualization concepts were implemented as a standalone HTML application using Plotly.js. This second implementation was developed to provide a more interactive web presentation while retaining the analytical structure established in Tableau. Both versions use the same underlying cleaned datasets and analytical requirements.</w:t>
      </w:r>
    </w:p>
    <w:p>
      <w:pPr>
        <w:pStyle w:val="Heading1"/>
        <w:pBdr>
          <w:bottom w:val="single" w:color="2E7D32" w:sz="8" w:space="4"/>
        </w:pBdr>
        <w:spacing w:after="160" w:before="360"/>
      </w:pPr>
      <w:r>
        <w:rPr>
          <w:b/>
          <w:bCs/>
          <w:color w:val="2E7D32"/>
          <w:sz w:val="30"/>
          <w:szCs w:val="30"/>
        </w:rPr>
        <w:t xml:space="preserve">2. Live Dashboard</w:t>
      </w:r>
    </w:p>
    <w:p>
      <w:pPr>
        <w:spacing w:after="160" w:line="276"/>
      </w:pPr>
      <w:r>
        <w:rPr>
          <w:b/>
          <w:bCs/>
          <w:sz w:val="22"/>
          <w:szCs w:val="22"/>
        </w:rPr>
        <w:t xml:space="preserve">The Tableau workbook is published and publicly viewable at:</w:t>
      </w:r>
    </w:p>
    <w:p>
      <w:pPr>
        <w:spacing w:after="160" w:line="276"/>
      </w:pPr>
      <w:r>
        <w:rPr>
          <w:color w:val="2E7D32"/>
          <w:sz w:val="22"/>
          <w:szCs w:val="22"/>
        </w:rPr>
        <w:t xml:space="preserve">https://public.tableau.com/app/profile/yogitha.j1210/viz/SoilWhispers/AgronomistView</w:t>
      </w:r>
    </w:p>
    <w:p>
      <w:pPr>
        <w:spacing w:after="160" w:line="276"/>
      </w:pPr>
      <w:r>
        <w:rPr>
          <w:sz w:val="22"/>
          <w:szCs w:val="22"/>
        </w:rPr>
        <w:t xml:space="preserve">The workbook contains two dashboards as tabs, Farmer View and Agronomist View, matching the two user types defined in the Week 1 target-user table. Use the tabs at the top of the page to switch between them.</w:t>
      </w:r>
    </w:p>
    <w:p>
      <w:pPr>
        <w:pStyle w:val="Heading1"/>
        <w:pBdr>
          <w:bottom w:val="single" w:color="2E7D32" w:sz="8" w:space="4"/>
        </w:pBdr>
        <w:spacing w:after="160" w:before="360"/>
      </w:pPr>
      <w:r>
        <w:rPr>
          <w:b/>
          <w:bCs/>
          <w:color w:val="2E7D32"/>
          <w:sz w:val="30"/>
          <w:szCs w:val="30"/>
        </w:rPr>
        <w:t xml:space="preserve">3. Conceptualization</w:t>
      </w:r>
    </w:p>
    <w:p>
      <w:pPr>
        <w:spacing w:after="160" w:line="276"/>
      </w:pPr>
      <w:r>
        <w:rPr>
          <w:sz w:val="22"/>
          <w:szCs w:val="22"/>
        </w:rPr>
        <w:t xml:space="preserve">Two dashboard views serve the two user types defined in the Week 1 target-user table: the smallholder farmer, who needs a fast read on field and regional performance, and the agronomist, who needs to compare states, correlate variables, and drill into specific districts.</w:t>
      </w:r>
    </w:p>
    <w:p>
      <w:pPr>
        <w:pStyle w:val="Heading2"/>
        <w:spacing w:after="120" w:before="280"/>
      </w:pPr>
      <w:r>
        <w:rPr>
          <w:b/>
          <w:bCs/>
          <w:color w:val="1B5E20"/>
          <w:sz w:val="24"/>
          <w:szCs w:val="24"/>
        </w:rPr>
        <w:t xml:space="preserve">3.1 Key Metrics</w:t>
      </w:r>
    </w:p>
    <w:p>
      <w:pPr>
        <w:pStyle w:val="ListParagraph"/>
        <w:numPr>
          <w:ilvl w:val="0"/>
          <w:numId w:val="2"/>
        </w:numPr>
        <w:spacing w:after="80"/>
      </w:pPr>
      <w:r>
        <w:rPr>
          <w:sz w:val="22"/>
          <w:szCs w:val="22"/>
        </w:rPr>
        <w:t xml:space="preserve">Rice and wheat yield trend, 2010–2017 (national), computed live from the district-year panel.</w:t>
      </w:r>
    </w:p>
    <w:p>
      <w:pPr>
        <w:pStyle w:val="ListParagraph"/>
        <w:numPr>
          <w:ilvl w:val="0"/>
          <w:numId w:val="2"/>
        </w:numPr>
        <w:spacing w:after="80"/>
      </w:pPr>
      <w:r>
        <w:rPr>
          <w:sz w:val="22"/>
          <w:szCs w:val="22"/>
        </w:rPr>
        <w:t xml:space="preserve">State-level yield ranking, all 20 states, sortable and highlightable by selection.</w:t>
      </w:r>
    </w:p>
    <w:p>
      <w:pPr>
        <w:pStyle w:val="ListParagraph"/>
        <w:numPr>
          <w:ilvl w:val="0"/>
          <w:numId w:val="2"/>
        </w:numPr>
        <w:spacing w:after="80"/>
      </w:pPr>
      <w:r>
        <w:rPr>
          <w:sz w:val="22"/>
          <w:szCs w:val="22"/>
        </w:rPr>
        <w:t xml:space="preserve">Rainfall requirement distribution by crop, shown as a real box plot (min, quartiles, median, max).</w:t>
      </w:r>
    </w:p>
    <w:p>
      <w:pPr>
        <w:pStyle w:val="ListParagraph"/>
        <w:numPr>
          <w:ilvl w:val="0"/>
          <w:numId w:val="2"/>
        </w:numPr>
        <w:spacing w:after="80"/>
      </w:pPr>
      <w:r>
        <w:rPr>
          <w:sz w:val="22"/>
          <w:szCs w:val="22"/>
        </w:rPr>
        <w:t xml:space="preserve">Soil and climate correlation matrix (N, P, K, temperature, humidity, pH, rainfall), computed with a real Pearson correlation implementation, not estimated.</w:t>
      </w:r>
    </w:p>
    <w:p>
      <w:pPr>
        <w:pStyle w:val="ListParagraph"/>
        <w:numPr>
          <w:ilvl w:val="0"/>
          <w:numId w:val="2"/>
        </w:numPr>
        <w:spacing w:after="80"/>
      </w:pPr>
      <w:r>
        <w:rPr>
          <w:sz w:val="22"/>
          <w:szCs w:val="22"/>
        </w:rPr>
        <w:t xml:space="preserve">District area-vs-yield relationship, to check whether larger cultivated area predicts higher or lower yield intensity.</w:t>
      </w:r>
    </w:p>
    <w:p>
      <w:pPr>
        <w:pStyle w:val="Heading2"/>
        <w:spacing w:after="120" w:before="280"/>
      </w:pPr>
      <w:r>
        <w:rPr>
          <w:b/>
          <w:bCs/>
          <w:color w:val="1B5E20"/>
          <w:sz w:val="24"/>
          <w:szCs w:val="24"/>
        </w:rPr>
        <w:t xml:space="preserve">3.2 Business Questions Addressed</w:t>
      </w:r>
    </w:p>
    <w:p>
      <w:pPr>
        <w:spacing w:after="160" w:line="276"/>
      </w:pPr>
      <w:r>
        <w:rPr>
          <w:sz w:val="22"/>
          <w:szCs w:val="22"/>
        </w:rPr>
        <w:t xml:space="preserve">These map to the five business questions from the Week 1 strategic plan: how a selected state compares to the national average, which fields or regions are trending stronger or weaker, how this season's yield trajectory compares to prior years, what rainfall a given crop actually needs, and which regions deliver the strongest yield performance.</w:t>
      </w:r>
    </w:p>
    <w:p>
      <w:pPr>
        <w:pStyle w:val="Heading1"/>
        <w:pBdr>
          <w:bottom w:val="single" w:color="2E7D32" w:sz="8" w:space="4"/>
        </w:pBdr>
        <w:spacing w:after="160" w:before="360"/>
      </w:pPr>
      <w:r>
        <w:rPr>
          <w:b/>
          <w:bCs/>
          <w:color w:val="2E7D32"/>
          <w:sz w:val="30"/>
          <w:szCs w:val="30"/>
        </w:rPr>
        <w:t xml:space="preserve">4. Design Elements: Visualization Choices</w:t>
      </w:r>
    </w:p>
    <w:p>
      <w:pPr>
        <w:spacing w:after="160" w:line="276"/>
      </w:pPr>
      <w:r>
        <w:rPr>
          <w:sz w:val="22"/>
          <w:szCs w:val="22"/>
        </w:rPr>
        <w:t xml:space="preserve">Every chart below is implemented, not just proposed. The table lists the metric, the chart type as actually coded, the JavaScript/Plotly mechanism used, and why that choice fits the 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500"/>
        <w:gridCol w:w="2800"/>
      </w:tblGrid>
      <w:tr>
        <w:trPr>
          <w:tblHeader/>
        </w:trPr>
        <w:tc>
          <w:tcPr>
            <w:tcW w:type="dxa" w:w="1700"/>
            <w:shd w:fill="2E7D32" w:val="clear"/>
            <w:tcMar>
              <w:top w:type="dxa" w:w="100"/>
              <w:left w:type="dxa" w:w="120"/>
              <w:bottom w:type="dxa" w:w="100"/>
              <w:right w:type="dxa" w:w="120"/>
            </w:tcMar>
          </w:tcPr>
          <w:p>
            <w:r>
              <w:rPr>
                <w:b/>
                <w:bCs/>
                <w:color w:val="FFFFFF"/>
                <w:sz w:val="20"/>
                <w:szCs w:val="20"/>
              </w:rPr>
              <w:t xml:space="preserve">Metric</w:t>
            </w:r>
          </w:p>
        </w:tc>
        <w:tc>
          <w:tcPr>
            <w:tcW w:type="dxa" w:w="2200"/>
            <w:shd w:fill="2E7D32" w:val="clear"/>
            <w:tcMar>
              <w:top w:type="dxa" w:w="100"/>
              <w:left w:type="dxa" w:w="120"/>
              <w:bottom w:type="dxa" w:w="100"/>
              <w:right w:type="dxa" w:w="120"/>
            </w:tcMar>
          </w:tcPr>
          <w:p>
            <w:r>
              <w:rPr>
                <w:b/>
                <w:bCs/>
                <w:color w:val="FFFFFF"/>
                <w:sz w:val="20"/>
                <w:szCs w:val="20"/>
              </w:rPr>
              <w:t xml:space="preserve">Chart Type (implemented)</w:t>
            </w:r>
          </w:p>
        </w:tc>
        <w:tc>
          <w:tcPr>
            <w:tcW w:type="dxa" w:w="2500"/>
            <w:shd w:fill="2E7D32" w:val="clear"/>
            <w:tcMar>
              <w:top w:type="dxa" w:w="100"/>
              <w:left w:type="dxa" w:w="120"/>
              <w:bottom w:type="dxa" w:w="100"/>
              <w:right w:type="dxa" w:w="120"/>
            </w:tcMar>
          </w:tcPr>
          <w:p>
            <w:r>
              <w:rPr>
                <w:b/>
                <w:bCs/>
                <w:color w:val="FFFFFF"/>
                <w:sz w:val="20"/>
                <w:szCs w:val="20"/>
              </w:rPr>
              <w:t xml:space="preserve">Mechanism</w:t>
            </w:r>
          </w:p>
        </w:tc>
        <w:tc>
          <w:tcPr>
            <w:tcW w:type="dxa" w:w="2800"/>
            <w:shd w:fill="2E7D32" w:val="clear"/>
            <w:tcMar>
              <w:top w:type="dxa" w:w="100"/>
              <w:left w:type="dxa" w:w="120"/>
              <w:bottom w:type="dxa" w:w="100"/>
              <w:right w:type="dxa" w:w="120"/>
            </w:tcMar>
          </w:tcPr>
          <w:p>
            <w:r>
              <w:rPr>
                <w:b/>
                <w:bCs/>
                <w:color w:val="FFFFFF"/>
                <w:sz w:val="20"/>
                <w:szCs w:val="20"/>
              </w:rPr>
              <w:t xml:space="preserve">Why This Choice</w:t>
            </w:r>
          </w:p>
        </w:tc>
      </w:tr>
      <w:tr>
        <w:tc>
          <w:tcPr>
            <w:tcW w:type="dxa" w:w="1700"/>
            <w:shd w:fill="F5F5F5" w:val="clear"/>
            <w:tcMar>
              <w:top w:type="dxa" w:w="100"/>
              <w:left w:type="dxa" w:w="120"/>
              <w:bottom w:type="dxa" w:w="100"/>
              <w:right w:type="dxa" w:w="120"/>
            </w:tcMar>
          </w:tcPr>
          <w:p>
            <w:r>
              <w:rPr>
                <w:b w:val="false"/>
                <w:bCs w:val="false"/>
                <w:sz w:val="20"/>
                <w:szCs w:val="20"/>
              </w:rPr>
              <w:t xml:space="preserve">Yield trend, 2010–2017</w:t>
            </w:r>
          </w:p>
        </w:tc>
        <w:tc>
          <w:tcPr>
            <w:tcW w:type="dxa" w:w="2200"/>
            <w:shd w:fill="F5F5F5" w:val="clear"/>
            <w:tcMar>
              <w:top w:type="dxa" w:w="100"/>
              <w:left w:type="dxa" w:w="120"/>
              <w:bottom w:type="dxa" w:w="100"/>
              <w:right w:type="dxa" w:w="120"/>
            </w:tcMar>
          </w:tcPr>
          <w:p>
            <w:r>
              <w:rPr>
                <w:b w:val="false"/>
                <w:bCs w:val="false"/>
                <w:sz w:val="20"/>
                <w:szCs w:val="20"/>
              </w:rPr>
              <w:t xml:space="preserve">Dual-line chart, filled area on agronomist view</w:t>
            </w:r>
          </w:p>
        </w:tc>
        <w:tc>
          <w:tcPr>
            <w:tcW w:type="dxa" w:w="2500"/>
            <w:shd w:fill="F5F5F5" w:val="clear"/>
            <w:tcMar>
              <w:top w:type="dxa" w:w="100"/>
              <w:left w:type="dxa" w:w="120"/>
              <w:bottom w:type="dxa" w:w="100"/>
              <w:right w:type="dxa" w:w="120"/>
            </w:tcMar>
          </w:tcPr>
          <w:p>
            <w:r>
              <w:rPr>
                <w:b w:val="false"/>
                <w:bCs w:val="false"/>
                <w:sz w:val="20"/>
                <w:szCs w:val="20"/>
              </w:rPr>
              <w:t xml:space="preserve">Plotly scatter trace, mode: lines+markers, react() on filter change</w:t>
            </w:r>
          </w:p>
        </w:tc>
        <w:tc>
          <w:tcPr>
            <w:tcW w:type="dxa" w:w="2800"/>
            <w:shd w:fill="F5F5F5" w:val="clear"/>
            <w:tcMar>
              <w:top w:type="dxa" w:w="100"/>
              <w:left w:type="dxa" w:w="120"/>
              <w:bottom w:type="dxa" w:w="100"/>
              <w:right w:type="dxa" w:w="120"/>
            </w:tcMar>
          </w:tcPr>
          <w:p>
            <w:r>
              <w:rPr>
                <w:b w:val="false"/>
                <w:bCs w:val="false"/>
                <w:sz w:val="20"/>
                <w:szCs w:val="20"/>
              </w:rPr>
              <w:t xml:space="preserve">A trend over 8 points is a line chart's job; bars per year would add visual noise without adding information.</w:t>
            </w:r>
          </w:p>
        </w:tc>
      </w:tr>
      <w:tr>
        <w:tc>
          <w:tcPr>
            <w:tcW w:type="dxa" w:w="1700"/>
            <w:shd w:fill="FFFFFF" w:val="clear"/>
            <w:tcMar>
              <w:top w:type="dxa" w:w="100"/>
              <w:left w:type="dxa" w:w="120"/>
              <w:bottom w:type="dxa" w:w="100"/>
              <w:right w:type="dxa" w:w="120"/>
            </w:tcMar>
          </w:tcPr>
          <w:p>
            <w:r>
              <w:rPr>
                <w:b w:val="false"/>
                <w:bCs w:val="false"/>
                <w:sz w:val="20"/>
                <w:szCs w:val="20"/>
              </w:rPr>
              <w:t xml:space="preserve">State yield ranking</w:t>
            </w:r>
          </w:p>
        </w:tc>
        <w:tc>
          <w:tcPr>
            <w:tcW w:type="dxa" w:w="2200"/>
            <w:shd w:fill="FFFFFF" w:val="clear"/>
            <w:tcMar>
              <w:top w:type="dxa" w:w="100"/>
              <w:left w:type="dxa" w:w="120"/>
              <w:bottom w:type="dxa" w:w="100"/>
              <w:right w:type="dxa" w:w="120"/>
            </w:tcMar>
          </w:tcPr>
          <w:p>
            <w:r>
              <w:rPr>
                <w:b w:val="false"/>
                <w:bCs w:val="false"/>
                <w:sz w:val="20"/>
                <w:szCs w:val="20"/>
              </w:rPr>
              <w:t xml:space="preserve">Horizontal bar, dynamically re-colored</w:t>
            </w:r>
          </w:p>
        </w:tc>
        <w:tc>
          <w:tcPr>
            <w:tcW w:type="dxa" w:w="2500"/>
            <w:shd w:fill="FFFFFF" w:val="clear"/>
            <w:tcMar>
              <w:top w:type="dxa" w:w="100"/>
              <w:left w:type="dxa" w:w="120"/>
              <w:bottom w:type="dxa" w:w="100"/>
              <w:right w:type="dxa" w:w="120"/>
            </w:tcMar>
          </w:tcPr>
          <w:p>
            <w:r>
              <w:rPr>
                <w:b w:val="false"/>
                <w:bCs w:val="false"/>
                <w:sz w:val="20"/>
                <w:szCs w:val="20"/>
              </w:rPr>
              <w:t xml:space="preserve">Plotly bar trace, orientation h, marker.color array recomputed per selection</w:t>
            </w:r>
          </w:p>
        </w:tc>
        <w:tc>
          <w:tcPr>
            <w:tcW w:type="dxa" w:w="2800"/>
            <w:shd w:fill="FFFFFF" w:val="clear"/>
            <w:tcMar>
              <w:top w:type="dxa" w:w="100"/>
              <w:left w:type="dxa" w:w="120"/>
              <w:bottom w:type="dxa" w:w="100"/>
              <w:right w:type="dxa" w:w="120"/>
            </w:tcMar>
          </w:tcPr>
          <w:p>
            <w:r>
              <w:rPr>
                <w:b w:val="false"/>
                <w:bCs w:val="false"/>
                <w:sz w:val="20"/>
                <w:szCs w:val="20"/>
              </w:rPr>
              <w:t xml:space="preserve">Horizontal bars keep state names legible; recoloring the selected state on the fly does the comparison work instantly instead of requiring the user to search a list.</w:t>
            </w:r>
          </w:p>
        </w:tc>
      </w:tr>
      <w:tr>
        <w:tc>
          <w:tcPr>
            <w:tcW w:type="dxa" w:w="1700"/>
            <w:shd w:fill="F5F5F5" w:val="clear"/>
            <w:tcMar>
              <w:top w:type="dxa" w:w="100"/>
              <w:left w:type="dxa" w:w="120"/>
              <w:bottom w:type="dxa" w:w="100"/>
              <w:right w:type="dxa" w:w="120"/>
            </w:tcMar>
          </w:tcPr>
          <w:p>
            <w:r>
              <w:rPr>
                <w:b w:val="false"/>
                <w:bCs w:val="false"/>
                <w:sz w:val="20"/>
                <w:szCs w:val="20"/>
              </w:rPr>
              <w:t xml:space="preserve">Rainfall by crop</w:t>
            </w:r>
          </w:p>
        </w:tc>
        <w:tc>
          <w:tcPr>
            <w:tcW w:type="dxa" w:w="2200"/>
            <w:shd w:fill="F5F5F5" w:val="clear"/>
            <w:tcMar>
              <w:top w:type="dxa" w:w="100"/>
              <w:left w:type="dxa" w:w="120"/>
              <w:bottom w:type="dxa" w:w="100"/>
              <w:right w:type="dxa" w:w="120"/>
            </w:tcMar>
          </w:tcPr>
          <w:p>
            <w:r>
              <w:rPr>
                <w:b w:val="false"/>
                <w:bCs w:val="false"/>
                <w:sz w:val="20"/>
                <w:szCs w:val="20"/>
              </w:rPr>
              <w:t xml:space="preserve">Real box plot, six crops</w:t>
            </w:r>
          </w:p>
        </w:tc>
        <w:tc>
          <w:tcPr>
            <w:tcW w:type="dxa" w:w="2500"/>
            <w:shd w:fill="F5F5F5" w:val="clear"/>
            <w:tcMar>
              <w:top w:type="dxa" w:w="100"/>
              <w:left w:type="dxa" w:w="120"/>
              <w:bottom w:type="dxa" w:w="100"/>
              <w:right w:type="dxa" w:w="120"/>
            </w:tcMar>
          </w:tcPr>
          <w:p>
            <w:r>
              <w:rPr>
                <w:b w:val="false"/>
                <w:bCs w:val="false"/>
                <w:sz w:val="20"/>
                <w:szCs w:val="20"/>
              </w:rPr>
              <w:t xml:space="preserve">Plotly type: box, one trace per crop, computed from raw per-record rainfall values</w:t>
            </w:r>
          </w:p>
        </w:tc>
        <w:tc>
          <w:tcPr>
            <w:tcW w:type="dxa" w:w="2800"/>
            <w:shd w:fill="F5F5F5" w:val="clear"/>
            <w:tcMar>
              <w:top w:type="dxa" w:w="100"/>
              <w:left w:type="dxa" w:w="120"/>
              <w:bottom w:type="dxa" w:w="100"/>
              <w:right w:type="dxa" w:w="120"/>
            </w:tcMar>
          </w:tcPr>
          <w:p>
            <w:r>
              <w:rPr>
                <w:b w:val="false"/>
                <w:bCs w:val="false"/>
                <w:sz w:val="20"/>
                <w:szCs w:val="20"/>
              </w:rPr>
              <w:t xml:space="preserve">A box plot is implemented, not approximated. It shows the full spread and outliers, which a single average bar would hide.</w:t>
            </w:r>
          </w:p>
        </w:tc>
      </w:tr>
      <w:tr>
        <w:tc>
          <w:tcPr>
            <w:tcW w:type="dxa" w:w="1700"/>
            <w:shd w:fill="FFFFFF" w:val="clear"/>
            <w:tcMar>
              <w:top w:type="dxa" w:w="100"/>
              <w:left w:type="dxa" w:w="120"/>
              <w:bottom w:type="dxa" w:w="100"/>
              <w:right w:type="dxa" w:w="120"/>
            </w:tcMar>
          </w:tcPr>
          <w:p>
            <w:r>
              <w:rPr>
                <w:b w:val="false"/>
                <w:bCs w:val="false"/>
                <w:sz w:val="20"/>
                <w:szCs w:val="20"/>
              </w:rPr>
              <w:t xml:space="preserve">Soil/climate correlation</w:t>
            </w:r>
          </w:p>
        </w:tc>
        <w:tc>
          <w:tcPr>
            <w:tcW w:type="dxa" w:w="2200"/>
            <w:shd w:fill="FFFFFF" w:val="clear"/>
            <w:tcMar>
              <w:top w:type="dxa" w:w="100"/>
              <w:left w:type="dxa" w:w="120"/>
              <w:bottom w:type="dxa" w:w="100"/>
              <w:right w:type="dxa" w:w="120"/>
            </w:tcMar>
          </w:tcPr>
          <w:p>
            <w:r>
              <w:rPr>
                <w:b w:val="false"/>
                <w:bCs w:val="false"/>
                <w:sz w:val="20"/>
                <w:szCs w:val="20"/>
              </w:rPr>
              <w:t xml:space="preserve">Heatmap, diverging color scale</w:t>
            </w:r>
          </w:p>
        </w:tc>
        <w:tc>
          <w:tcPr>
            <w:tcW w:type="dxa" w:w="2500"/>
            <w:shd w:fill="FFFFFF" w:val="clear"/>
            <w:tcMar>
              <w:top w:type="dxa" w:w="100"/>
              <w:left w:type="dxa" w:w="120"/>
              <w:bottom w:type="dxa" w:w="100"/>
              <w:right w:type="dxa" w:w="120"/>
            </w:tcMar>
          </w:tcPr>
          <w:p>
            <w:r>
              <w:rPr>
                <w:b w:val="false"/>
                <w:bCs w:val="false"/>
                <w:sz w:val="20"/>
                <w:szCs w:val="20"/>
              </w:rPr>
              <w:t xml:space="preserve">Plotly type: heatmap, colorscale RdYlGn, zmid 0, z-matrix computed by a real Pearson correlation function</w:t>
            </w:r>
          </w:p>
        </w:tc>
        <w:tc>
          <w:tcPr>
            <w:tcW w:type="dxa" w:w="2800"/>
            <w:shd w:fill="FFFFFF" w:val="clear"/>
            <w:tcMar>
              <w:top w:type="dxa" w:w="100"/>
              <w:left w:type="dxa" w:w="120"/>
              <w:bottom w:type="dxa" w:w="100"/>
              <w:right w:type="dxa" w:w="120"/>
            </w:tcMar>
          </w:tcPr>
          <w:p>
            <w:r>
              <w:rPr>
                <w:b w:val="false"/>
                <w:bCs w:val="false"/>
                <w:sz w:val="20"/>
                <w:szCs w:val="20"/>
              </w:rPr>
              <w:t xml:space="preserve">The correlation coefficients are calculated in JavaScript at load time from the actual 2,200-row dataset, not hardcoded.</w:t>
            </w:r>
          </w:p>
        </w:tc>
      </w:tr>
      <w:tr>
        <w:tc>
          <w:tcPr>
            <w:tcW w:type="dxa" w:w="1700"/>
            <w:shd w:fill="F5F5F5" w:val="clear"/>
            <w:tcMar>
              <w:top w:type="dxa" w:w="100"/>
              <w:left w:type="dxa" w:w="120"/>
              <w:bottom w:type="dxa" w:w="100"/>
              <w:right w:type="dxa" w:w="120"/>
            </w:tcMar>
          </w:tcPr>
          <w:p>
            <w:r>
              <w:rPr>
                <w:b w:val="false"/>
                <w:bCs w:val="false"/>
                <w:sz w:val="20"/>
                <w:szCs w:val="20"/>
              </w:rPr>
              <w:t xml:space="preserve">Area vs. yield</w:t>
            </w:r>
          </w:p>
        </w:tc>
        <w:tc>
          <w:tcPr>
            <w:tcW w:type="dxa" w:w="2200"/>
            <w:shd w:fill="F5F5F5" w:val="clear"/>
            <w:tcMar>
              <w:top w:type="dxa" w:w="100"/>
              <w:left w:type="dxa" w:w="120"/>
              <w:bottom w:type="dxa" w:w="100"/>
              <w:right w:type="dxa" w:w="120"/>
            </w:tcMar>
          </w:tcPr>
          <w:p>
            <w:r>
              <w:rPr>
                <w:b w:val="false"/>
                <w:bCs w:val="false"/>
                <w:sz w:val="20"/>
                <w:szCs w:val="20"/>
              </w:rPr>
              <w:t xml:space="preserve">Scatter plot, ~100–150 sampled points</w:t>
            </w:r>
          </w:p>
        </w:tc>
        <w:tc>
          <w:tcPr>
            <w:tcW w:type="dxa" w:w="2500"/>
            <w:shd w:fill="F5F5F5" w:val="clear"/>
            <w:tcMar>
              <w:top w:type="dxa" w:w="100"/>
              <w:left w:type="dxa" w:w="120"/>
              <w:bottom w:type="dxa" w:w="100"/>
              <w:right w:type="dxa" w:w="120"/>
            </w:tcMar>
          </w:tcPr>
          <w:p>
            <w:r>
              <w:rPr>
                <w:b w:val="false"/>
                <w:bCs w:val="false"/>
                <w:sz w:val="20"/>
                <w:szCs w:val="20"/>
              </w:rPr>
              <w:t xml:space="preserve">Plotly type: scatter, mode markers, hover shows district/state</w:t>
            </w:r>
          </w:p>
        </w:tc>
        <w:tc>
          <w:tcPr>
            <w:tcW w:type="dxa" w:w="2800"/>
            <w:shd w:fill="F5F5F5" w:val="clear"/>
            <w:tcMar>
              <w:top w:type="dxa" w:w="100"/>
              <w:left w:type="dxa" w:w="120"/>
              <w:bottom w:type="dxa" w:w="100"/>
              <w:right w:type="dxa" w:w="120"/>
            </w:tcMar>
          </w:tcPr>
          <w:p>
            <w:r>
              <w:rPr>
                <w:b w:val="false"/>
                <w:bCs w:val="false"/>
                <w:sz w:val="20"/>
                <w:szCs w:val="20"/>
              </w:rPr>
              <w:t xml:space="preserve">Scatter is the standard chart for checking whether two continuous variables move together; sampling every Nth row keeps the plot readable without misrepresenting the relationship.</w:t>
            </w:r>
          </w:p>
        </w:tc>
      </w:tr>
      <w:tr>
        <w:tc>
          <w:tcPr>
            <w:tcW w:type="dxa" w:w="1700"/>
            <w:shd w:fill="FFFFFF" w:val="clear"/>
            <w:tcMar>
              <w:top w:type="dxa" w:w="100"/>
              <w:left w:type="dxa" w:w="120"/>
              <w:bottom w:type="dxa" w:w="100"/>
              <w:right w:type="dxa" w:w="120"/>
            </w:tcMar>
          </w:tcPr>
          <w:p>
            <w:r>
              <w:rPr>
                <w:b w:val="false"/>
                <w:bCs w:val="false"/>
                <w:sz w:val="20"/>
                <w:szCs w:val="20"/>
              </w:rPr>
              <w:t xml:space="preserve">District drill-down</w:t>
            </w:r>
          </w:p>
        </w:tc>
        <w:tc>
          <w:tcPr>
            <w:tcW w:type="dxa" w:w="2200"/>
            <w:shd w:fill="FFFFFF" w:val="clear"/>
            <w:tcMar>
              <w:top w:type="dxa" w:w="100"/>
              <w:left w:type="dxa" w:w="120"/>
              <w:bottom w:type="dxa" w:w="100"/>
              <w:right w:type="dxa" w:w="120"/>
            </w:tcMar>
          </w:tcPr>
          <w:p>
            <w:r>
              <w:rPr>
                <w:b w:val="false"/>
                <w:bCs w:val="false"/>
                <w:sz w:val="20"/>
                <w:szCs w:val="20"/>
              </w:rPr>
              <w:t xml:space="preserve">Live-updating HTML table</w:t>
            </w:r>
          </w:p>
        </w:tc>
        <w:tc>
          <w:tcPr>
            <w:tcW w:type="dxa" w:w="2500"/>
            <w:shd w:fill="FFFFFF" w:val="clear"/>
            <w:tcMar>
              <w:top w:type="dxa" w:w="100"/>
              <w:left w:type="dxa" w:w="120"/>
              <w:bottom w:type="dxa" w:w="100"/>
              <w:right w:type="dxa" w:w="120"/>
            </w:tcMar>
          </w:tcPr>
          <w:p>
            <w:r>
              <w:rPr>
                <w:b w:val="false"/>
                <w:bCs w:val="false"/>
                <w:sz w:val="20"/>
                <w:szCs w:val="20"/>
              </w:rPr>
              <w:t xml:space="preserve">DOM table rebuilt via JavaScript, sorted by yield, top 10 for the selected crop</w:t>
            </w:r>
          </w:p>
        </w:tc>
        <w:tc>
          <w:tcPr>
            <w:tcW w:type="dxa" w:w="2800"/>
            <w:shd w:fill="FFFFFF" w:val="clear"/>
            <w:tcMar>
              <w:top w:type="dxa" w:w="100"/>
              <w:left w:type="dxa" w:w="120"/>
              <w:bottom w:type="dxa" w:w="100"/>
              <w:right w:type="dxa" w:w="120"/>
            </w:tcMar>
          </w:tcPr>
          <w:p>
            <w:r>
              <w:rPr>
                <w:b w:val="false"/>
                <w:bCs w:val="false"/>
                <w:sz w:val="20"/>
                <w:szCs w:val="20"/>
              </w:rPr>
              <w:t xml:space="preserve">Once a user wants exact numbers for specific districts, a table beats a chart. It updates with the same crop selector as the rest of the view.</w:t>
            </w:r>
          </w:p>
        </w:tc>
      </w:tr>
    </w:tbl>
    <w:p>
      <w:pPr>
        <w:pStyle w:val="Heading1"/>
        <w:pBdr>
          <w:bottom w:val="single" w:color="2E7D32" w:sz="8" w:space="4"/>
        </w:pBdr>
        <w:spacing w:after="160" w:before="360"/>
      </w:pPr>
      <w:r>
        <w:rPr>
          <w:b/>
          <w:bCs/>
          <w:color w:val="2E7D32"/>
          <w:sz w:val="30"/>
          <w:szCs w:val="30"/>
        </w:rPr>
        <w:t xml:space="preserve">5. Implementation</w:t>
      </w:r>
    </w:p>
    <w:p>
      <w:pPr>
        <w:spacing w:after="160" w:line="276"/>
      </w:pPr>
      <w:r>
        <w:rPr>
          <w:sz w:val="22"/>
          <w:szCs w:val="22"/>
        </w:rPr>
        <w:t>The dashboard was first developed as a native Tableau Public workbook, with the Farmer View and Agronomist View organized as separate dashboard tabs. Tableau parameters, quick filters, worksheets, calculated fields, and dashboard actions were used to implement the required analytical views.</w:t>
        <w:br/>
        <w:br/>
        <w:t>After the Tableau version was completed, the dashboard design was translated into a self-contained HTML implementation using Plotly.js. The HTML version contains the cleaned datasets, client-side aggregation functions, and Plotly.js chart rendering and update logic. No server or build step is required; opening the HTML file in a browser is sufficient to run the web version.</w:t>
      </w:r>
    </w:p>
    <w:p>
      <w:pPr>
        <w:pStyle w:val="Heading2"/>
        <w:spacing w:after="120" w:before="280"/>
      </w:pPr>
      <w:r>
        <w:rPr>
          <w:b/>
          <w:bCs/>
          <w:color w:val="1B5E20"/>
          <w:sz w:val="24"/>
          <w:szCs w:val="24"/>
        </w:rPr>
        <w:t xml:space="preserve">5.1 Correctness Check</w:t>
      </w:r>
    </w:p>
    <w:p>
      <w:pPr>
        <w:spacing w:after="160" w:line="276"/>
      </w:pPr>
      <w:r>
        <w:rPr>
          <w:sz w:val="22"/>
          <w:szCs w:val="22"/>
        </w:rPr>
        <w:t>After the Tableau dashboard was created, the HTML/Plotly implementation was developed to reproduce the same analytical views and dashboard logic in a browser-based format. The aggregation functions were tested in Node.js against the exact numbers already verified by pandas in the Week 2 report.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2400"/>
        <w:gridCol w:w="1700"/>
      </w:tblGrid>
      <w:tr>
        <w:trPr>
          <w:tblHeader/>
        </w:trPr>
        <w:tc>
          <w:tcPr>
            <w:tcW w:type="dxa" w:w="2900"/>
            <w:shd w:fill="2E7D32" w:val="clear"/>
            <w:tcMar>
              <w:top w:type="dxa" w:w="100"/>
              <w:left w:type="dxa" w:w="120"/>
              <w:bottom w:type="dxa" w:w="100"/>
              <w:right w:type="dxa" w:w="120"/>
            </w:tcMar>
          </w:tcPr>
          <w:p>
            <w:r>
              <w:rPr>
                <w:b/>
                <w:bCs/>
                <w:color w:val="FFFFFF"/>
                <w:sz w:val="20"/>
                <w:szCs w:val="20"/>
              </w:rPr>
              <w:t xml:space="preserve">Metric</w:t>
            </w:r>
          </w:p>
        </w:tc>
        <w:tc>
          <w:tcPr>
            <w:tcW w:type="dxa" w:w="2200"/>
            <w:shd w:fill="2E7D32" w:val="clear"/>
            <w:tcMar>
              <w:top w:type="dxa" w:w="100"/>
              <w:left w:type="dxa" w:w="120"/>
              <w:bottom w:type="dxa" w:w="100"/>
              <w:right w:type="dxa" w:w="120"/>
            </w:tcMar>
          </w:tcPr>
          <w:p>
            <w:r>
              <w:rPr>
                <w:b/>
                <w:bCs/>
                <w:color w:val="FFFFFF"/>
                <w:sz w:val="20"/>
                <w:szCs w:val="20"/>
              </w:rPr>
              <w:t xml:space="preserve">Week 2 (pandas)</w:t>
            </w:r>
          </w:p>
        </w:tc>
        <w:tc>
          <w:tcPr>
            <w:tcW w:type="dxa" w:w="2400"/>
            <w:shd w:fill="2E7D32" w:val="clear"/>
            <w:tcMar>
              <w:top w:type="dxa" w:w="100"/>
              <w:left w:type="dxa" w:w="120"/>
              <w:bottom w:type="dxa" w:w="100"/>
              <w:right w:type="dxa" w:w="120"/>
            </w:tcMar>
          </w:tcPr>
          <w:p>
            <w:r>
              <w:rPr>
                <w:b/>
                <w:bCs/>
                <w:color w:val="FFFFFF"/>
                <w:sz w:val="20"/>
                <w:szCs w:val="20"/>
              </w:rPr>
              <w:t xml:space="preserve">Dashboard (JavaScript)</w:t>
            </w:r>
          </w:p>
        </w:tc>
        <w:tc>
          <w:tcPr>
            <w:tcW w:type="dxa" w:w="1700"/>
            <w:shd w:fill="2E7D32" w:val="clear"/>
            <w:tcMar>
              <w:top w:type="dxa" w:w="100"/>
              <w:left w:type="dxa" w:w="120"/>
              <w:bottom w:type="dxa" w:w="100"/>
              <w:right w:type="dxa" w:w="120"/>
            </w:tcMar>
          </w:tcPr>
          <w:p>
            <w:r>
              <w:rPr>
                <w:b/>
                <w:bCs/>
                <w:color w:val="FFFFFF"/>
                <w:sz w:val="20"/>
                <w:szCs w:val="20"/>
              </w:rPr>
              <w:t xml:space="preserve">Match</w:t>
            </w:r>
          </w:p>
        </w:tc>
      </w:tr>
      <w:tr>
        <w:tc>
          <w:tcPr>
            <w:tcW w:type="dxa" w:w="2900"/>
            <w:shd w:fill="F5F5F5" w:val="clear"/>
            <w:tcMar>
              <w:top w:type="dxa" w:w="100"/>
              <w:left w:type="dxa" w:w="120"/>
              <w:bottom w:type="dxa" w:w="100"/>
              <w:right w:type="dxa" w:w="120"/>
            </w:tcMar>
          </w:tcPr>
          <w:p>
            <w:r>
              <w:rPr>
                <w:b w:val="false"/>
                <w:bCs w:val="false"/>
                <w:sz w:val="20"/>
                <w:szCs w:val="20"/>
              </w:rPr>
              <w:t xml:space="preserve">Rice yield growth, 2010→2017</w:t>
            </w:r>
          </w:p>
        </w:tc>
        <w:tc>
          <w:tcPr>
            <w:tcW w:type="dxa" w:w="2200"/>
            <w:shd w:fill="F5F5F5" w:val="clear"/>
            <w:tcMar>
              <w:top w:type="dxa" w:w="100"/>
              <w:left w:type="dxa" w:w="120"/>
              <w:bottom w:type="dxa" w:w="100"/>
              <w:right w:type="dxa" w:w="120"/>
            </w:tcMar>
          </w:tcPr>
          <w:p>
            <w:r>
              <w:rPr>
                <w:b w:val="false"/>
                <w:bCs w:val="false"/>
                <w:sz w:val="20"/>
                <w:szCs w:val="20"/>
              </w:rPr>
              <w:t xml:space="preserve">+20.9%</w:t>
            </w:r>
          </w:p>
        </w:tc>
        <w:tc>
          <w:tcPr>
            <w:tcW w:type="dxa" w:w="2400"/>
            <w:shd w:fill="F5F5F5" w:val="clear"/>
            <w:tcMar>
              <w:top w:type="dxa" w:w="100"/>
              <w:left w:type="dxa" w:w="120"/>
              <w:bottom w:type="dxa" w:w="100"/>
              <w:right w:type="dxa" w:w="120"/>
            </w:tcMar>
          </w:tcPr>
          <w:p>
            <w:r>
              <w:rPr>
                <w:b w:val="false"/>
                <w:bCs w:val="false"/>
                <w:sz w:val="20"/>
                <w:szCs w:val="20"/>
              </w:rPr>
              <w:t xml:space="preserve">+20.9%</w:t>
            </w:r>
          </w:p>
        </w:tc>
        <w:tc>
          <w:tcPr>
            <w:tcW w:type="dxa" w:w="1700"/>
            <w:shd w:fill="F5F5F5" w:val="clear"/>
            <w:tcMar>
              <w:top w:type="dxa" w:w="100"/>
              <w:left w:type="dxa" w:w="120"/>
              <w:bottom w:type="dxa" w:w="100"/>
              <w:right w:type="dxa" w:w="120"/>
            </w:tcMar>
          </w:tcPr>
          <w:p>
            <w:r>
              <w:rPr>
                <w:b w:val="false"/>
                <w:bCs w:val="false"/>
                <w:sz w:val="20"/>
                <w:szCs w:val="20"/>
              </w:rPr>
              <w:t xml:space="preserve">Yes</w:t>
            </w:r>
          </w:p>
        </w:tc>
      </w:tr>
      <w:tr>
        <w:tc>
          <w:tcPr>
            <w:tcW w:type="dxa" w:w="2900"/>
            <w:shd w:fill="FFFFFF" w:val="clear"/>
            <w:tcMar>
              <w:top w:type="dxa" w:w="100"/>
              <w:left w:type="dxa" w:w="120"/>
              <w:bottom w:type="dxa" w:w="100"/>
              <w:right w:type="dxa" w:w="120"/>
            </w:tcMar>
          </w:tcPr>
          <w:p>
            <w:r>
              <w:rPr>
                <w:b w:val="false"/>
                <w:bCs w:val="false"/>
                <w:sz w:val="20"/>
                <w:szCs w:val="20"/>
              </w:rPr>
              <w:t xml:space="preserve">Top state, avg rice yield</w:t>
            </w:r>
          </w:p>
        </w:tc>
        <w:tc>
          <w:tcPr>
            <w:tcW w:type="dxa" w:w="2200"/>
            <w:shd w:fill="FFFFFF" w:val="clear"/>
            <w:tcMar>
              <w:top w:type="dxa" w:w="100"/>
              <w:left w:type="dxa" w:w="120"/>
              <w:bottom w:type="dxa" w:w="100"/>
              <w:right w:type="dxa" w:w="120"/>
            </w:tcMar>
          </w:tcPr>
          <w:p>
            <w:r>
              <w:rPr>
                <w:b w:val="false"/>
                <w:bCs w:val="false"/>
                <w:sz w:val="20"/>
                <w:szCs w:val="20"/>
              </w:rPr>
              <w:t xml:space="preserve">Tamil Nadu, ~3,940 kg/ha</w:t>
            </w:r>
          </w:p>
        </w:tc>
        <w:tc>
          <w:tcPr>
            <w:tcW w:type="dxa" w:w="2400"/>
            <w:shd w:fill="FFFFFF" w:val="clear"/>
            <w:tcMar>
              <w:top w:type="dxa" w:w="100"/>
              <w:left w:type="dxa" w:w="120"/>
              <w:bottom w:type="dxa" w:w="100"/>
              <w:right w:type="dxa" w:w="120"/>
            </w:tcMar>
          </w:tcPr>
          <w:p>
            <w:r>
              <w:rPr>
                <w:b w:val="false"/>
                <w:bCs w:val="false"/>
                <w:sz w:val="20"/>
                <w:szCs w:val="20"/>
              </w:rPr>
              <w:t xml:space="preserve">Tamil Nadu, 3,942 kg/ha</w:t>
            </w:r>
          </w:p>
        </w:tc>
        <w:tc>
          <w:tcPr>
            <w:tcW w:type="dxa" w:w="1700"/>
            <w:shd w:fill="FFFFFF" w:val="clear"/>
            <w:tcMar>
              <w:top w:type="dxa" w:w="100"/>
              <w:left w:type="dxa" w:w="120"/>
              <w:bottom w:type="dxa" w:w="100"/>
              <w:right w:type="dxa" w:w="120"/>
            </w:tcMar>
          </w:tcPr>
          <w:p>
            <w:r>
              <w:rPr>
                <w:b w:val="false"/>
                <w:bCs w:val="false"/>
                <w:sz w:val="20"/>
                <w:szCs w:val="20"/>
              </w:rPr>
              <w:t xml:space="preserve">Yes</w:t>
            </w:r>
          </w:p>
        </w:tc>
      </w:tr>
      <w:tr>
        <w:tc>
          <w:tcPr>
            <w:tcW w:type="dxa" w:w="2900"/>
            <w:shd w:fill="F5F5F5" w:val="clear"/>
            <w:tcMar>
              <w:top w:type="dxa" w:w="100"/>
              <w:left w:type="dxa" w:w="120"/>
              <w:bottom w:type="dxa" w:w="100"/>
              <w:right w:type="dxa" w:w="120"/>
            </w:tcMar>
          </w:tcPr>
          <w:p>
            <w:r>
              <w:rPr>
                <w:b w:val="false"/>
                <w:bCs w:val="false"/>
                <w:sz w:val="20"/>
                <w:szCs w:val="20"/>
              </w:rPr>
              <w:t xml:space="preserve">Bottom state, avg rice yield</w:t>
            </w:r>
          </w:p>
        </w:tc>
        <w:tc>
          <w:tcPr>
            <w:tcW w:type="dxa" w:w="2200"/>
            <w:shd w:fill="F5F5F5" w:val="clear"/>
            <w:tcMar>
              <w:top w:type="dxa" w:w="100"/>
              <w:left w:type="dxa" w:w="120"/>
              <w:bottom w:type="dxa" w:w="100"/>
              <w:right w:type="dxa" w:w="120"/>
            </w:tcMar>
          </w:tcPr>
          <w:p>
            <w:r>
              <w:rPr>
                <w:b w:val="false"/>
                <w:bCs w:val="false"/>
                <w:sz w:val="20"/>
                <w:szCs w:val="20"/>
              </w:rPr>
              <w:t xml:space="preserve">Maharashtra, ~1,400 kg/ha</w:t>
            </w:r>
          </w:p>
        </w:tc>
        <w:tc>
          <w:tcPr>
            <w:tcW w:type="dxa" w:w="2400"/>
            <w:shd w:fill="F5F5F5" w:val="clear"/>
            <w:tcMar>
              <w:top w:type="dxa" w:w="100"/>
              <w:left w:type="dxa" w:w="120"/>
              <w:bottom w:type="dxa" w:w="100"/>
              <w:right w:type="dxa" w:w="120"/>
            </w:tcMar>
          </w:tcPr>
          <w:p>
            <w:r>
              <w:rPr>
                <w:b w:val="false"/>
                <w:bCs w:val="false"/>
                <w:sz w:val="20"/>
                <w:szCs w:val="20"/>
              </w:rPr>
              <w:t xml:space="preserve">Maharashtra, 1,400 kg/ha</w:t>
            </w:r>
          </w:p>
        </w:tc>
        <w:tc>
          <w:tcPr>
            <w:tcW w:type="dxa" w:w="1700"/>
            <w:shd w:fill="F5F5F5" w:val="clear"/>
            <w:tcMar>
              <w:top w:type="dxa" w:w="100"/>
              <w:left w:type="dxa" w:w="120"/>
              <w:bottom w:type="dxa" w:w="100"/>
              <w:right w:type="dxa" w:w="120"/>
            </w:tcMar>
          </w:tcPr>
          <w:p>
            <w:r>
              <w:rPr>
                <w:b w:val="false"/>
                <w:bCs w:val="false"/>
                <w:sz w:val="20"/>
                <w:szCs w:val="20"/>
              </w:rPr>
              <w:t xml:space="preserve">Yes</w:t>
            </w:r>
          </w:p>
        </w:tc>
      </w:tr>
      <w:tr>
        <w:tc>
          <w:tcPr>
            <w:tcW w:type="dxa" w:w="2900"/>
            <w:shd w:fill="FFFFFF" w:val="clear"/>
            <w:tcMar>
              <w:top w:type="dxa" w:w="100"/>
              <w:left w:type="dxa" w:w="120"/>
              <w:bottom w:type="dxa" w:w="100"/>
              <w:right w:type="dxa" w:w="120"/>
            </w:tcMar>
          </w:tcPr>
          <w:p>
            <w:r>
              <w:rPr>
                <w:b w:val="false"/>
                <w:bCs w:val="false"/>
                <w:sz w:val="20"/>
                <w:szCs w:val="20"/>
              </w:rPr>
              <w:t xml:space="preserve">Rice mean rainfall requirement</w:t>
            </w:r>
          </w:p>
        </w:tc>
        <w:tc>
          <w:tcPr>
            <w:tcW w:type="dxa" w:w="2200"/>
            <w:shd w:fill="FFFFFF" w:val="clear"/>
            <w:tcMar>
              <w:top w:type="dxa" w:w="100"/>
              <w:left w:type="dxa" w:w="120"/>
              <w:bottom w:type="dxa" w:w="100"/>
              <w:right w:type="dxa" w:w="120"/>
            </w:tcMar>
          </w:tcPr>
          <w:p>
            <w:r>
              <w:rPr>
                <w:b w:val="false"/>
                <w:bCs w:val="false"/>
                <w:sz w:val="20"/>
                <w:szCs w:val="20"/>
              </w:rPr>
              <w:t xml:space="preserve">~236.2 mm</w:t>
            </w:r>
          </w:p>
        </w:tc>
        <w:tc>
          <w:tcPr>
            <w:tcW w:type="dxa" w:w="2400"/>
            <w:shd w:fill="FFFFFF" w:val="clear"/>
            <w:tcMar>
              <w:top w:type="dxa" w:w="100"/>
              <w:left w:type="dxa" w:w="120"/>
              <w:bottom w:type="dxa" w:w="100"/>
              <w:right w:type="dxa" w:w="120"/>
            </w:tcMar>
          </w:tcPr>
          <w:p>
            <w:r>
              <w:rPr>
                <w:b w:val="false"/>
                <w:bCs w:val="false"/>
                <w:sz w:val="20"/>
                <w:szCs w:val="20"/>
              </w:rPr>
              <w:t xml:space="preserve">236.2 mm</w:t>
            </w:r>
          </w:p>
        </w:tc>
        <w:tc>
          <w:tcPr>
            <w:tcW w:type="dxa" w:w="1700"/>
            <w:shd w:fill="FFFFFF" w:val="clear"/>
            <w:tcMar>
              <w:top w:type="dxa" w:w="100"/>
              <w:left w:type="dxa" w:w="120"/>
              <w:bottom w:type="dxa" w:w="100"/>
              <w:right w:type="dxa" w:w="120"/>
            </w:tcMar>
          </w:tcPr>
          <w:p>
            <w:r>
              <w:rPr>
                <w:b w:val="false"/>
                <w:bCs w:val="false"/>
                <w:sz w:val="20"/>
                <w:szCs w:val="20"/>
              </w:rPr>
              <w:t xml:space="preserve">Yes</w:t>
            </w:r>
          </w:p>
        </w:tc>
      </w:tr>
      <w:tr>
        <w:tc>
          <w:tcPr>
            <w:tcW w:type="dxa" w:w="2900"/>
            <w:shd w:fill="F5F5F5" w:val="clear"/>
            <w:tcMar>
              <w:top w:type="dxa" w:w="100"/>
              <w:left w:type="dxa" w:w="120"/>
              <w:bottom w:type="dxa" w:w="100"/>
              <w:right w:type="dxa" w:w="120"/>
            </w:tcMar>
          </w:tcPr>
          <w:p>
            <w:r>
              <w:rPr>
                <w:b w:val="false"/>
                <w:bCs w:val="false"/>
                <w:sz w:val="20"/>
                <w:szCs w:val="20"/>
              </w:rPr>
              <w:t xml:space="preserve">Strongest soil/climate correlation</w:t>
            </w:r>
          </w:p>
        </w:tc>
        <w:tc>
          <w:tcPr>
            <w:tcW w:type="dxa" w:w="2200"/>
            <w:shd w:fill="F5F5F5" w:val="clear"/>
            <w:tcMar>
              <w:top w:type="dxa" w:w="100"/>
              <w:left w:type="dxa" w:w="120"/>
              <w:bottom w:type="dxa" w:w="100"/>
              <w:right w:type="dxa" w:w="120"/>
            </w:tcMar>
          </w:tcPr>
          <w:p>
            <w:r>
              <w:rPr>
                <w:b w:val="false"/>
                <w:bCs w:val="false"/>
                <w:sz w:val="20"/>
                <w:szCs w:val="20"/>
              </w:rPr>
              <w:t xml:space="preserve">P–K, r ≈ 0.74</w:t>
            </w:r>
          </w:p>
        </w:tc>
        <w:tc>
          <w:tcPr>
            <w:tcW w:type="dxa" w:w="2400"/>
            <w:shd w:fill="F5F5F5" w:val="clear"/>
            <w:tcMar>
              <w:top w:type="dxa" w:w="100"/>
              <w:left w:type="dxa" w:w="120"/>
              <w:bottom w:type="dxa" w:w="100"/>
              <w:right w:type="dxa" w:w="120"/>
            </w:tcMar>
          </w:tcPr>
          <w:p>
            <w:r>
              <w:rPr>
                <w:b w:val="false"/>
                <w:bCs w:val="false"/>
                <w:sz w:val="20"/>
                <w:szCs w:val="20"/>
              </w:rPr>
              <w:t xml:space="preserve">P–K, r = 0.74</w:t>
            </w:r>
          </w:p>
        </w:tc>
        <w:tc>
          <w:tcPr>
            <w:tcW w:type="dxa" w:w="1700"/>
            <w:shd w:fill="F5F5F5" w:val="clear"/>
            <w:tcMar>
              <w:top w:type="dxa" w:w="100"/>
              <w:left w:type="dxa" w:w="120"/>
              <w:bottom w:type="dxa" w:w="100"/>
              <w:right w:type="dxa" w:w="120"/>
            </w:tcMar>
          </w:tcPr>
          <w:p>
            <w:r>
              <w:rPr>
                <w:b w:val="false"/>
                <w:bCs w:val="false"/>
                <w:sz w:val="20"/>
                <w:szCs w:val="20"/>
              </w:rPr>
              <w:t xml:space="preserve">Yes</w:t>
            </w:r>
          </w:p>
        </w:tc>
      </w:tr>
    </w:tbl>
    <w:p>
      <w:pPr>
        <w:spacing w:after="160" w:line="276"/>
      </w:pPr>
      <w:r>
        <w:rPr>
          <w:sz w:val="22"/>
          <w:szCs w:val="22"/>
        </w:rPr>
        <w:t xml:space="preserve">This check matters because a chart that looks right but computes wrong numbers is worse than no chart. Validating against an independent, already-verified source (the Week 2 pandas analysis) rather than just eyeballing the output is what makes this trustworthy.</w:t>
      </w:r>
    </w:p>
    <w:p>
      <w:pPr>
        <w:pStyle w:val="Heading2"/>
        <w:spacing w:after="120" w:before="280"/>
      </w:pPr>
      <w:r>
        <w:rPr>
          <w:b/>
          <w:bCs/>
          <w:color w:val="1B5E20"/>
          <w:sz w:val="24"/>
          <w:szCs w:val="24"/>
        </w:rPr>
        <w:t xml:space="preserve">5.2 Core Aggregation Code</w:t>
      </w:r>
    </w:p>
    <w:p>
      <w:pPr>
        <w:spacing w:after="160" w:line="276"/>
      </w:pPr>
      <w:r>
        <w:rPr>
          <w:sz w:val="22"/>
          <w:szCs w:val="22"/>
        </w:rPr>
        <w:t xml:space="preserve">An excerpt from aggregations.js, the correlation and yearly-trend functions referenced in the table above:</w:t>
      </w:r>
    </w:p>
    <w:p>
      <w:pPr>
        <w:pBdr>
          <w:top w:val="single" w:color="CCCCCC" w:sz="4" w:space="4"/>
          <w:bottom w:val="single" w:color="CCCCCC" w:sz="4" w:space="4"/>
          <w:left w:val="single" w:color="CCCCCC" w:sz="4" w:space="4"/>
          <w:right w:val="single" w:color="CCCCCC" w:sz="4" w:space="4"/>
        </w:pBdr>
        <w:shd w:fill="F0F2F0" w:val="clear"/>
        <w:spacing w:after="160"/>
      </w:pPr>
      <w:r>
        <w:rPr>
          <w:rFonts w:ascii="Consolas" w:cs="Consolas" w:eastAsia="Consolas" w:hAnsi="Consolas"/>
          <w:color w:val="1B5E20"/>
          <w:sz w:val="17"/>
          <w:szCs w:val="17"/>
        </w:rPr>
        <w:t xml:space="preserve">function pearson(x, y) {</w:t>
      </w:r>
      <w:r>
        <w:br/>
        <w:t xml:space="preserve"/>
      </w:r>
      <w:r>
        <w:rPr>
          <w:rFonts w:ascii="Consolas" w:cs="Consolas" w:eastAsia="Consolas" w:hAnsi="Consolas"/>
          <w:color w:val="1B5E20"/>
          <w:sz w:val="17"/>
          <w:szCs w:val="17"/>
        </w:rPr>
        <w:t xml:space="preserve">  const n = x.length;</w:t>
      </w:r>
      <w:r>
        <w:br/>
        <w:t xml:space="preserve"/>
      </w:r>
      <w:r>
        <w:rPr>
          <w:rFonts w:ascii="Consolas" w:cs="Consolas" w:eastAsia="Consolas" w:hAnsi="Consolas"/>
          <w:color w:val="1B5E20"/>
          <w:sz w:val="17"/>
          <w:szCs w:val="17"/>
        </w:rPr>
        <w:t xml:space="preserve">  const mx = mean(x), my = mean(y);</w:t>
      </w:r>
      <w:r>
        <w:br/>
        <w:t xml:space="preserve"/>
      </w:r>
      <w:r>
        <w:rPr>
          <w:rFonts w:ascii="Consolas" w:cs="Consolas" w:eastAsia="Consolas" w:hAnsi="Consolas"/>
          <w:color w:val="1B5E20"/>
          <w:sz w:val="17"/>
          <w:szCs w:val="17"/>
        </w:rPr>
        <w:t xml:space="preserve">  let num = 0, dx2 = 0, dy2 = 0;</w:t>
      </w:r>
      <w:r>
        <w:br/>
        <w:t xml:space="preserve"/>
      </w:r>
      <w:r>
        <w:rPr>
          <w:rFonts w:ascii="Consolas" w:cs="Consolas" w:eastAsia="Consolas" w:hAnsi="Consolas"/>
          <w:color w:val="1B5E20"/>
          <w:sz w:val="17"/>
          <w:szCs w:val="17"/>
        </w:rPr>
        <w:t xml:space="preserve">  for (let i = 0; i &lt; n; i++) {</w:t>
      </w:r>
      <w:r>
        <w:br/>
        <w:t xml:space="preserve"/>
      </w:r>
      <w:r>
        <w:rPr>
          <w:rFonts w:ascii="Consolas" w:cs="Consolas" w:eastAsia="Consolas" w:hAnsi="Consolas"/>
          <w:color w:val="1B5E20"/>
          <w:sz w:val="17"/>
          <w:szCs w:val="17"/>
        </w:rPr>
        <w:t xml:space="preserve">    const dx = x[i] - mx, dy = y[i] - my;</w:t>
      </w:r>
      <w:r>
        <w:br/>
        <w:t xml:space="preserve"/>
      </w:r>
      <w:r>
        <w:rPr>
          <w:rFonts w:ascii="Consolas" w:cs="Consolas" w:eastAsia="Consolas" w:hAnsi="Consolas"/>
          <w:color w:val="1B5E20"/>
          <w:sz w:val="17"/>
          <w:szCs w:val="17"/>
        </w:rPr>
        <w:t xml:space="preserve">    num += dx * dy; dx2 += dx * dx; dy2 += dy * dy;</w:t>
      </w:r>
      <w:r>
        <w:br/>
        <w:t xml:space="preserve"/>
      </w:r>
      <w:r>
        <w:rPr>
          <w:rFonts w:ascii="Consolas" w:cs="Consolas" w:eastAsia="Consolas" w:hAnsi="Consolas"/>
          <w:color w:val="1B5E20"/>
          <w:sz w:val="17"/>
          <w:szCs w:val="17"/>
        </w:rPr>
        <w:t xml:space="preserve">  }</w:t>
      </w:r>
      <w:r>
        <w:br/>
        <w:t xml:space="preserve"/>
      </w:r>
      <w:r>
        <w:rPr>
          <w:rFonts w:ascii="Consolas" w:cs="Consolas" w:eastAsia="Consolas" w:hAnsi="Consolas"/>
          <w:color w:val="1B5E20"/>
          <w:sz w:val="17"/>
          <w:szCs w:val="17"/>
        </w:rPr>
        <w:t xml:space="preserve">  return num / Math.sqrt(dx2 * dy2);</w:t>
      </w:r>
      <w:r>
        <w:br/>
        <w:t xml:space="preserve"/>
      </w:r>
      <w:r>
        <w:rPr>
          <w:rFonts w:ascii="Consolas" w:cs="Consolas" w:eastAsia="Consolas" w:hAnsi="Consolas"/>
          <w:color w:val="1B5E20"/>
          <w:sz w:val="17"/>
          <w:szCs w:val="17"/>
        </w:rPr>
        <w:t xml:space="preserve">}</w:t>
      </w:r>
      <w:r>
        <w:br/>
        <w:t xml:space="preserve"/>
      </w:r>
      <w:r>
        <w:rPr>
          <w:rFonts w:ascii="Consolas" w:cs="Consolas" w:eastAsia="Consolas" w:hAnsi="Consolas"/>
          <w:color w:val="1B5E20"/>
          <w:sz w:val="17"/>
          <w:szCs w:val="17"/>
        </w:rPr>
        <w:t xml:space="preserve"/>
      </w:r>
      <w:r>
        <w:br/>
        <w:t xml:space="preserve"/>
      </w:r>
      <w:r>
        <w:rPr>
          <w:rFonts w:ascii="Consolas" w:cs="Consolas" w:eastAsia="Consolas" w:hAnsi="Consolas"/>
          <w:color w:val="1B5E20"/>
          <w:sz w:val="17"/>
          <w:szCs w:val="17"/>
        </w:rPr>
        <w:t xml:space="preserve">function yearlyYieldTrend(rows, cropPrefix) {</w:t>
      </w:r>
      <w:r>
        <w:br/>
        <w:t xml:space="preserve"/>
      </w:r>
      <w:r>
        <w:rPr>
          <w:rFonts w:ascii="Consolas" w:cs="Consolas" w:eastAsia="Consolas" w:hAnsi="Consolas"/>
          <w:color w:val="1B5E20"/>
          <w:sz w:val="17"/>
          <w:szCs w:val="17"/>
        </w:rPr>
        <w:t xml:space="preserve">  const areaKey = `${cropPrefix} AREA (1000 ha)`;</w:t>
      </w:r>
      <w:r>
        <w:br/>
        <w:t xml:space="preserve"/>
      </w:r>
      <w:r>
        <w:rPr>
          <w:rFonts w:ascii="Consolas" w:cs="Consolas" w:eastAsia="Consolas" w:hAnsi="Consolas"/>
          <w:color w:val="1B5E20"/>
          <w:sz w:val="17"/>
          <w:szCs w:val="17"/>
        </w:rPr>
        <w:t xml:space="preserve">  const yieldKey = `${cropPrefix} YIELD (Kg per ha)`;</w:t>
      </w:r>
      <w:r>
        <w:br/>
        <w:t xml:space="preserve"/>
      </w:r>
      <w:r>
        <w:rPr>
          <w:rFonts w:ascii="Consolas" w:cs="Consolas" w:eastAsia="Consolas" w:hAnsi="Consolas"/>
          <w:color w:val="1B5E20"/>
          <w:sz w:val="17"/>
          <w:szCs w:val="17"/>
        </w:rPr>
        <w:t xml:space="preserve">  const grown = rows.filter(r =&gt; r[areaKey] &gt; 0);  // exclude districts that don't grow this crop</w:t>
      </w:r>
      <w:r>
        <w:br/>
        <w:t xml:space="preserve"/>
      </w:r>
      <w:r>
        <w:rPr>
          <w:rFonts w:ascii="Consolas" w:cs="Consolas" w:eastAsia="Consolas" w:hAnsi="Consolas"/>
          <w:color w:val="1B5E20"/>
          <w:sz w:val="17"/>
          <w:szCs w:val="17"/>
        </w:rPr>
        <w:t xml:space="preserve">  const byYear = {};</w:t>
      </w:r>
      <w:r>
        <w:br/>
        <w:t xml:space="preserve"/>
      </w:r>
      <w:r>
        <w:rPr>
          <w:rFonts w:ascii="Consolas" w:cs="Consolas" w:eastAsia="Consolas" w:hAnsi="Consolas"/>
          <w:color w:val="1B5E20"/>
          <w:sz w:val="17"/>
          <w:szCs w:val="17"/>
        </w:rPr>
        <w:t xml:space="preserve">  grown.forEach(r =&gt; {</w:t>
      </w:r>
      <w:r>
        <w:br/>
        <w:t xml:space="preserve"/>
      </w:r>
      <w:r>
        <w:rPr>
          <w:rFonts w:ascii="Consolas" w:cs="Consolas" w:eastAsia="Consolas" w:hAnsi="Consolas"/>
          <w:color w:val="1B5E20"/>
          <w:sz w:val="17"/>
          <w:szCs w:val="17"/>
        </w:rPr>
        <w:t xml:space="preserve">    if (!byYear[r.Year]) byYear[r.Year] = [];</w:t>
      </w:r>
      <w:r>
        <w:br/>
        <w:t xml:space="preserve"/>
      </w:r>
      <w:r>
        <w:rPr>
          <w:rFonts w:ascii="Consolas" w:cs="Consolas" w:eastAsia="Consolas" w:hAnsi="Consolas"/>
          <w:color w:val="1B5E20"/>
          <w:sz w:val="17"/>
          <w:szCs w:val="17"/>
        </w:rPr>
        <w:t xml:space="preserve">    byYear[r.Year].push(r[yieldKey]);</w:t>
      </w:r>
      <w:r>
        <w:br/>
        <w:t xml:space="preserve"/>
      </w:r>
      <w:r>
        <w:rPr>
          <w:rFonts w:ascii="Consolas" w:cs="Consolas" w:eastAsia="Consolas" w:hAnsi="Consolas"/>
          <w:color w:val="1B5E20"/>
          <w:sz w:val="17"/>
          <w:szCs w:val="17"/>
        </w:rPr>
        <w:t xml:space="preserve">  });</w:t>
      </w:r>
      <w:r>
        <w:br/>
        <w:t xml:space="preserve"/>
      </w:r>
      <w:r>
        <w:rPr>
          <w:rFonts w:ascii="Consolas" w:cs="Consolas" w:eastAsia="Consolas" w:hAnsi="Consolas"/>
          <w:color w:val="1B5E20"/>
          <w:sz w:val="17"/>
          <w:szCs w:val="17"/>
        </w:rPr>
        <w:t xml:space="preserve">  return Object.keys(byYear).map(Number).sort((a,b)=&gt;a-b)</w:t>
      </w:r>
      <w:r>
        <w:br/>
        <w:t xml:space="preserve"/>
      </w:r>
      <w:r>
        <w:rPr>
          <w:rFonts w:ascii="Consolas" w:cs="Consolas" w:eastAsia="Consolas" w:hAnsi="Consolas"/>
          <w:color w:val="1B5E20"/>
          <w:sz w:val="17"/>
          <w:szCs w:val="17"/>
        </w:rPr>
        <w:t xml:space="preserve">    .map(y =&gt; ({ year: y, meanYield: mean(byYear[y]) }));</w:t>
      </w:r>
      <w:r>
        <w:br/>
        <w:t xml:space="preserve"/>
      </w:r>
      <w:r>
        <w:rPr>
          <w:rFonts w:ascii="Consolas" w:cs="Consolas" w:eastAsia="Consolas" w:hAnsi="Consolas"/>
          <w:color w:val="1B5E20"/>
          <w:sz w:val="17"/>
          <w:szCs w:val="17"/>
        </w:rPr>
        <w:t xml:space="preserve">}</w:t>
      </w:r>
    </w:p>
    <w:p>
      <w:pPr>
        <w:pStyle w:val="Heading2"/>
        <w:spacing w:after="120" w:before="280"/>
      </w:pPr>
      <w:r>
        <w:rPr>
          <w:b/>
          <w:bCs/>
          <w:color w:val="1B5E20"/>
          <w:sz w:val="24"/>
          <w:szCs w:val="24"/>
        </w:rPr>
        <w:t xml:space="preserve">5.3 Interactive Update Logic</w:t>
      </w:r>
    </w:p>
    <w:p>
      <w:pPr>
        <w:spacing w:after="160" w:line="276"/>
      </w:pPr>
      <w:r>
        <w:rPr>
          <w:sz w:val="22"/>
          <w:szCs w:val="22"/>
        </w:rPr>
        <w:t xml:space="preserve">An excerpt from the dashboard's render function showing how a dropdown change triggers a live chart update:</w:t>
      </w:r>
    </w:p>
    <w:p>
      <w:pPr>
        <w:pBdr>
          <w:top w:val="single" w:color="CCCCCC" w:sz="4" w:space="4"/>
          <w:bottom w:val="single" w:color="CCCCCC" w:sz="4" w:space="4"/>
          <w:left w:val="single" w:color="CCCCCC" w:sz="4" w:space="4"/>
          <w:right w:val="single" w:color="CCCCCC" w:sz="4" w:space="4"/>
        </w:pBdr>
        <w:shd w:fill="F0F2F0" w:val="clear"/>
        <w:spacing w:after="160"/>
      </w:pPr>
      <w:r>
        <w:rPr>
          <w:rFonts w:ascii="Consolas" w:cs="Consolas" w:eastAsia="Consolas" w:hAnsi="Consolas"/>
          <w:color w:val="1B5E20"/>
          <w:sz w:val="17"/>
          <w:szCs w:val="17"/>
        </w:rPr>
        <w:t xml:space="preserve">document.getElementById('agroCropPrefix').addEventListener('change', renderAgro);</w:t>
      </w:r>
      <w:r>
        <w:br/>
        <w:t xml:space="preserve"/>
      </w:r>
      <w:r>
        <w:rPr>
          <w:rFonts w:ascii="Consolas" w:cs="Consolas" w:eastAsia="Consolas" w:hAnsi="Consolas"/>
          <w:color w:val="1B5E20"/>
          <w:sz w:val="17"/>
          <w:szCs w:val="17"/>
        </w:rPr>
        <w:t xml:space="preserve"/>
      </w:r>
      <w:r>
        <w:br/>
        <w:t xml:space="preserve"/>
      </w:r>
      <w:r>
        <w:rPr>
          <w:rFonts w:ascii="Consolas" w:cs="Consolas" w:eastAsia="Consolas" w:hAnsi="Consolas"/>
          <w:color w:val="1B5E20"/>
          <w:sz w:val="17"/>
          <w:szCs w:val="17"/>
        </w:rPr>
        <w:t xml:space="preserve">function renderAgro() {</w:t>
      </w:r>
      <w:r>
        <w:br/>
        <w:t xml:space="preserve"/>
      </w:r>
      <w:r>
        <w:rPr>
          <w:rFonts w:ascii="Consolas" w:cs="Consolas" w:eastAsia="Consolas" w:hAnsi="Consolas"/>
          <w:color w:val="1B5E20"/>
          <w:sz w:val="17"/>
          <w:szCs w:val="17"/>
        </w:rPr>
        <w:t xml:space="preserve">  const cropPrefix = document.getElementById('agroCropPrefix').value; // RICE / WHEAT / COTTON</w:t>
      </w:r>
      <w:r>
        <w:br/>
        <w:t xml:space="preserve"/>
      </w:r>
      <w:r>
        <w:rPr>
          <w:rFonts w:ascii="Consolas" w:cs="Consolas" w:eastAsia="Consolas" w:hAnsi="Consolas"/>
          <w:color w:val="1B5E20"/>
          <w:sz w:val="17"/>
          <w:szCs w:val="17"/>
        </w:rPr>
        <w:t xml:space="preserve">  const trend = yearlyYieldTrend(DF2, cropPrefix);</w:t>
      </w:r>
      <w:r>
        <w:br/>
        <w:t xml:space="preserve"/>
      </w:r>
      <w:r>
        <w:rPr>
          <w:rFonts w:ascii="Consolas" w:cs="Consolas" w:eastAsia="Consolas" w:hAnsi="Consolas"/>
          <w:color w:val="1B5E20"/>
          <w:sz w:val="17"/>
          <w:szCs w:val="17"/>
        </w:rPr>
        <w:t xml:space="preserve">  Plotly.react('agroTrendChart', [{</w:t>
      </w:r>
      <w:r>
        <w:br/>
        <w:t xml:space="preserve"/>
      </w:r>
      <w:r>
        <w:rPr>
          <w:rFonts w:ascii="Consolas" w:cs="Consolas" w:eastAsia="Consolas" w:hAnsi="Consolas"/>
          <w:color w:val="1B5E20"/>
          <w:sz w:val="17"/>
          <w:szCs w:val="17"/>
        </w:rPr>
        <w:t xml:space="preserve">    x: trend.map(r =&gt; r.year),</w:t>
      </w:r>
      <w:r>
        <w:br/>
        <w:t xml:space="preserve"/>
      </w:r>
      <w:r>
        <w:rPr>
          <w:rFonts w:ascii="Consolas" w:cs="Consolas" w:eastAsia="Consolas" w:hAnsi="Consolas"/>
          <w:color w:val="1B5E20"/>
          <w:sz w:val="17"/>
          <w:szCs w:val="17"/>
        </w:rPr>
        <w:t xml:space="preserve">    y: trend.map(r =&gt; Math.round(r.meanYield)),</w:t>
      </w:r>
      <w:r>
        <w:br/>
        <w:t xml:space="preserve"/>
      </w:r>
      <w:r>
        <w:rPr>
          <w:rFonts w:ascii="Consolas" w:cs="Consolas" w:eastAsia="Consolas" w:hAnsi="Consolas"/>
          <w:color w:val="1B5E20"/>
          <w:sz w:val="17"/>
          <w:szCs w:val="17"/>
        </w:rPr>
        <w:t xml:space="preserve">    mode: 'lines+markers',</w:t>
      </w:r>
      <w:r>
        <w:br/>
        <w:t xml:space="preserve"/>
      </w:r>
      <w:r>
        <w:rPr>
          <w:rFonts w:ascii="Consolas" w:cs="Consolas" w:eastAsia="Consolas" w:hAnsi="Consolas"/>
          <w:color w:val="1B5E20"/>
          <w:sz w:val="17"/>
          <w:szCs w:val="17"/>
        </w:rPr>
        <w:t xml:space="preserve">    line: { color: GREEN, width: 3 },</w:t>
      </w:r>
      <w:r>
        <w:br/>
        <w:t xml:space="preserve"/>
      </w:r>
      <w:r>
        <w:rPr>
          <w:rFonts w:ascii="Consolas" w:cs="Consolas" w:eastAsia="Consolas" w:hAnsi="Consolas"/>
          <w:color w:val="1B5E20"/>
          <w:sz w:val="17"/>
          <w:szCs w:val="17"/>
        </w:rPr>
        <w:t xml:space="preserve">    fill: 'tozeroy'</w:t>
      </w:r>
      <w:r>
        <w:br/>
        <w:t xml:space="preserve"/>
      </w:r>
      <w:r>
        <w:rPr>
          <w:rFonts w:ascii="Consolas" w:cs="Consolas" w:eastAsia="Consolas" w:hAnsi="Consolas"/>
          <w:color w:val="1B5E20"/>
          <w:sz w:val="17"/>
          <w:szCs w:val="17"/>
        </w:rPr>
        <w:t xml:space="preserve">  }], { yaxis: { title: 'Kg/ha' } }, { displayModeBar: false });</w:t>
      </w:r>
      <w:r>
        <w:br/>
        <w:t xml:space="preserve"/>
      </w:r>
      <w:r>
        <w:rPr>
          <w:rFonts w:ascii="Consolas" w:cs="Consolas" w:eastAsia="Consolas" w:hAnsi="Consolas"/>
          <w:color w:val="1B5E20"/>
          <w:sz w:val="17"/>
          <w:szCs w:val="17"/>
        </w:rPr>
        <w:t xml:space="preserve">  // ...heatmap, bar chart, box plot, scatter, and table all update the same way</w:t>
      </w:r>
      <w:r>
        <w:br/>
        <w:t xml:space="preserve"/>
      </w:r>
      <w:r>
        <w:rPr>
          <w:rFonts w:ascii="Consolas" w:cs="Consolas" w:eastAsia="Consolas" w:hAnsi="Consolas"/>
          <w:color w:val="1B5E20"/>
          <w:sz w:val="17"/>
          <w:szCs w:val="17"/>
        </w:rPr>
        <w:t xml:space="preserve">}</w:t>
      </w:r>
    </w:p>
    <w:p>
      <w:pPr>
        <w:pStyle w:val="Heading1"/>
        <w:pBdr>
          <w:bottom w:val="single" w:color="2E7D32" w:sz="8" w:space="4"/>
        </w:pBdr>
        <w:spacing w:after="160" w:before="360"/>
      </w:pPr>
      <w:r>
        <w:rPr>
          <w:b/>
          <w:bCs/>
          <w:color w:val="2E7D32"/>
          <w:sz w:val="30"/>
          <w:szCs w:val="30"/>
        </w:rPr>
        <w:t>6. How to Run Both Versions</w:t>
      </w:r>
    </w:p>
    <w:p>
      <w:pPr>
        <w:spacing w:after="160" w:line="276"/>
      </w:pPr>
      <w:r>
        <w:rPr>
          <w:b/>
          <w:bCs/>
          <w:sz w:val="22"/>
          <w:szCs w:val="22"/>
        </w:rPr>
        <w:t>Tableau Public (the primary dashboard implementation):</w:t>
      </w:r>
    </w:p>
    <w:p>
      <w:pPr>
        <w:pStyle w:val="ListParagraph"/>
        <w:numPr>
          <w:ilvl w:val="0"/>
          <w:numId w:val="2"/>
        </w:numPr>
        <w:spacing w:after="80"/>
      </w:pPr>
      <w:r>
        <w:rPr>
          <w:sz w:val="22"/>
          <w:szCs w:val="22"/>
        </w:rPr>
        <w:t xml:space="preserve">Open the link in Section 2. Use the tabs at the top of the page to switch between Farmer View and Agronomist View.</w:t>
      </w:r>
    </w:p>
    <w:p>
      <w:pPr>
        <w:pStyle w:val="ListParagraph"/>
        <w:numPr>
          <w:ilvl w:val="0"/>
          <w:numId w:val="2"/>
        </w:numPr>
        <w:spacing w:after="80"/>
      </w:pPr>
      <w:r>
        <w:rPr>
          <w:sz w:val="22"/>
          <w:szCs w:val="22"/>
        </w:rPr>
        <w:t xml:space="preserve">Every chart responds to the Parameter and Quick Filter controls placed on each dashboard: changing the crop or state selection updates the connected worksheets live.</w:t>
      </w:r>
    </w:p>
    <w:p>
      <w:pPr>
        <w:spacing w:after="160" w:line="276"/>
      </w:pPr>
      <w:r>
        <w:rPr>
          <w:b/>
          <w:bCs/>
          <w:sz w:val="22"/>
          <w:szCs w:val="22"/>
        </w:rPr>
        <w:t>Plotly.js HTML version (interactive web implementation derived from the Tableau design):</w:t>
      </w:r>
    </w:p>
    <w:p>
      <w:pPr>
        <w:pStyle w:val="ListParagraph"/>
        <w:numPr>
          <w:ilvl w:val="0"/>
          <w:numId w:val="2"/>
        </w:numPr>
        <w:spacing w:after="80"/>
      </w:pPr>
      <w:r>
        <w:rPr>
          <w:sz w:val="22"/>
          <w:szCs w:val="22"/>
        </w:rPr>
        <w:t xml:space="preserve">Open soil_whispers_dashboard.html directly in any modern browser (Chrome, Firefox, Edge). It works fully offline: Plotly.js and PapaParse are bundled locally, and both datasets are embedded in the page, so no internet connection or server is required.</w:t>
      </w:r>
    </w:p>
    <w:p>
      <w:pPr>
        <w:pStyle w:val="ListParagraph"/>
        <w:numPr>
          <w:ilvl w:val="0"/>
          <w:numId w:val="2"/>
        </w:numPr>
        <w:spacing w:after="80"/>
      </w:pPr>
      <w:r>
        <w:rPr>
          <w:sz w:val="22"/>
          <w:szCs w:val="22"/>
        </w:rPr>
        <w:t xml:space="preserve">Use the tabs at the top to switch between the Farmer View and the Agronomist View.</w:t>
      </w:r>
    </w:p>
    <w:p>
      <w:pPr>
        <w:pStyle w:val="ListParagraph"/>
        <w:numPr>
          <w:ilvl w:val="0"/>
          <w:numId w:val="2"/>
        </w:numPr>
        <w:spacing w:after="80"/>
      </w:pPr>
      <w:r>
        <w:rPr>
          <w:sz w:val="22"/>
          <w:szCs w:val="22"/>
        </w:rPr>
        <w:t xml:space="preserve">Change the State or Crop dropdowns and every chart, KPI card, and table on that view updates immediately, computed fresh from the underlying data.</w:t>
      </w:r>
    </w:p>
    <w:p>
      <w:pPr>
        <w:spacing w:after="160" w:line="276"/>
      </w:pPr>
      <w:r>
        <w:rPr>
          <w:i/>
          <w:iCs/>
          <w:color w:val="555555"/>
          <w:sz w:val="22"/>
          <w:szCs w:val="22"/>
        </w:rPr>
        <w:t xml:space="preserve">A note on this report's figures: this sandbox environment could only produce screenshots using an outdated rendering engine that cannot execute modern JavaScript charting libraries, so it could not capture a working screenshot of either the Plotly build or the Tableau workbook. Rather than include a broken or misleading image, this report relies on the live link in Section 2, the code listings above, and the correctness table in Section 5.1 as evidence.</w:t>
      </w:r>
    </w:p>
    <w:p>
      <w:pPr>
        <w:pStyle w:val="Heading1"/>
        <w:pBdr>
          <w:bottom w:val="single" w:color="2E7D32" w:sz="8" w:space="4"/>
        </w:pBdr>
        <w:spacing w:after="160" w:before="360"/>
      </w:pPr>
      <w:r>
        <w:rPr>
          <w:b/>
          <w:bCs/>
          <w:color w:val="2E7D32"/>
          <w:sz w:val="30"/>
          <w:szCs w:val="30"/>
        </w:rPr>
        <w:t>7. Relationship Between Tableau and Plotly Implementations</w:t>
      </w:r>
    </w:p>
    <w:p>
      <w:pPr>
        <w:spacing w:after="160" w:line="276"/>
      </w:pPr>
      <w:r>
        <w:rPr>
          <w:sz w:val="22"/>
          <w:szCs w:val="22"/>
        </w:rPr>
        <w:t>This table documents how the dashboard elements created in Tableau Public were represented in the HTML/Plotly implementation. Tableau Public is the original dashboard design and primary internship deliverable; the Plotly.js version carries the same analytical structure into a standalone interactive web format.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00"/>
        <w:gridCol w:w="4800"/>
      </w:tblGrid>
      <w:tr>
        <w:trPr>
          <w:tblHeader/>
        </w:trPr>
        <w:tc>
          <w:tcPr>
            <w:tcW w:type="dxa" w:w="4400"/>
            <w:shd w:fill="2E7D32" w:val="clear"/>
            <w:tcMar>
              <w:top w:type="dxa" w:w="100"/>
              <w:left w:type="dxa" w:w="120"/>
              <w:bottom w:type="dxa" w:w="100"/>
              <w:right w:type="dxa" w:w="120"/>
            </w:tcMar>
          </w:tcPr>
          <w:p>
            <w:r>
              <w:t>Dashboard Element (Tableau design)</w:t>
            </w:r>
          </w:p>
        </w:tc>
        <w:tc>
          <w:tcPr>
            <w:tcW w:type="dxa" w:w="4800"/>
            <w:shd w:fill="2E7D32" w:val="clear"/>
            <w:tcMar>
              <w:top w:type="dxa" w:w="100"/>
              <w:left w:type="dxa" w:w="120"/>
              <w:bottom w:type="dxa" w:w="100"/>
              <w:right w:type="dxa" w:w="120"/>
            </w:tcMar>
          </w:tcPr>
          <w:p>
            <w:r>
              <w:t>HTML / Plotly Implementation</w:t>
            </w:r>
          </w:p>
        </w:tc>
      </w:tr>
      <w:tr>
        <w:tc>
          <w:tcPr>
            <w:tcW w:type="dxa" w:w="4400"/>
            <w:shd w:fill="F5F5F5" w:val="clear"/>
            <w:tcMar>
              <w:top w:type="dxa" w:w="100"/>
              <w:left w:type="dxa" w:w="120"/>
              <w:bottom w:type="dxa" w:w="100"/>
              <w:right w:type="dxa" w:w="120"/>
            </w:tcMar>
          </w:tcPr>
          <w:p>
            <w:r>
              <w:rPr>
                <w:b w:val="false"/>
                <w:bCs w:val="false"/>
                <w:sz w:val="20"/>
                <w:szCs w:val="20"/>
              </w:rPr>
              <w:t xml:space="preserve">Embedded CSV + client-side aggregation</w:t>
            </w:r>
          </w:p>
        </w:tc>
        <w:tc>
          <w:tcPr>
            <w:tcW w:type="dxa" w:w="4800"/>
            <w:shd w:fill="F5F5F5" w:val="clear"/>
            <w:tcMar>
              <w:top w:type="dxa" w:w="100"/>
              <w:left w:type="dxa" w:w="120"/>
              <w:bottom w:type="dxa" w:w="100"/>
              <w:right w:type="dxa" w:w="120"/>
            </w:tcMar>
          </w:tcPr>
          <w:p>
            <w:r>
              <w:rPr>
                <w:b w:val="false"/>
                <w:bCs w:val="false"/>
                <w:sz w:val="20"/>
                <w:szCs w:val="20"/>
              </w:rPr>
              <w:t xml:space="preserve">Live data source connection (CSV/Extract), calculated fields for derived values</w:t>
            </w:r>
          </w:p>
        </w:tc>
      </w:tr>
      <w:tr>
        <w:tc>
          <w:tcPr>
            <w:tcW w:type="dxa" w:w="4400"/>
            <w:shd w:fill="FFFFFF" w:val="clear"/>
            <w:tcMar>
              <w:top w:type="dxa" w:w="100"/>
              <w:left w:type="dxa" w:w="120"/>
              <w:bottom w:type="dxa" w:w="100"/>
              <w:right w:type="dxa" w:w="120"/>
            </w:tcMar>
          </w:tcPr>
          <w:p>
            <w:r>
              <w:rPr>
                <w:b w:val="false"/>
                <w:bCs w:val="false"/>
                <w:sz w:val="20"/>
                <w:szCs w:val="20"/>
              </w:rPr>
              <w:t xml:space="preserve">Dropdown filters (State, Crop) driving Plotly.react()</w:t>
            </w:r>
          </w:p>
        </w:tc>
        <w:tc>
          <w:tcPr>
            <w:tcW w:type="dxa" w:w="4800"/>
            <w:shd w:fill="FFFFFF" w:val="clear"/>
            <w:tcMar>
              <w:top w:type="dxa" w:w="100"/>
              <w:left w:type="dxa" w:w="120"/>
              <w:bottom w:type="dxa" w:w="100"/>
              <w:right w:type="dxa" w:w="120"/>
            </w:tcMar>
          </w:tcPr>
          <w:p>
            <w:r>
              <w:rPr>
                <w:b w:val="false"/>
                <w:bCs w:val="false"/>
                <w:sz w:val="20"/>
                <w:szCs w:val="20"/>
              </w:rPr>
              <w:t xml:space="preserve">Parameters and Quick Filters, wired to worksheets via a shared data source</w:t>
            </w:r>
          </w:p>
        </w:tc>
      </w:tr>
      <w:tr>
        <w:tc>
          <w:tcPr>
            <w:tcW w:type="dxa" w:w="4400"/>
            <w:shd w:fill="F5F5F5" w:val="clear"/>
            <w:tcMar>
              <w:top w:type="dxa" w:w="100"/>
              <w:left w:type="dxa" w:w="120"/>
              <w:bottom w:type="dxa" w:w="100"/>
              <w:right w:type="dxa" w:w="120"/>
            </w:tcMar>
          </w:tcPr>
          <w:p>
            <w:r>
              <w:rPr>
                <w:b w:val="false"/>
                <w:bCs w:val="false"/>
                <w:sz w:val="20"/>
                <w:szCs w:val="20"/>
              </w:rPr>
              <w:t xml:space="preserve">Line chart (yearly trend)</w:t>
            </w:r>
          </w:p>
        </w:tc>
        <w:tc>
          <w:tcPr>
            <w:tcW w:type="dxa" w:w="4800"/>
            <w:shd w:fill="F5F5F5" w:val="clear"/>
            <w:tcMar>
              <w:top w:type="dxa" w:w="100"/>
              <w:left w:type="dxa" w:w="120"/>
              <w:bottom w:type="dxa" w:w="100"/>
              <w:right w:type="dxa" w:w="120"/>
            </w:tcMar>
          </w:tcPr>
          <w:p>
            <w:r>
              <w:rPr>
                <w:b w:val="false"/>
                <w:bCs w:val="false"/>
                <w:sz w:val="20"/>
                <w:szCs w:val="20"/>
              </w:rPr>
              <w:t xml:space="preserve">Line mark, Year on a continuous axis, dual-axis for Rice vs. Wheat</w:t>
            </w:r>
          </w:p>
        </w:tc>
      </w:tr>
      <w:tr>
        <w:tc>
          <w:tcPr>
            <w:tcW w:type="dxa" w:w="4400"/>
            <w:shd w:fill="FFFFFF" w:val="clear"/>
            <w:tcMar>
              <w:top w:type="dxa" w:w="100"/>
              <w:left w:type="dxa" w:w="120"/>
              <w:bottom w:type="dxa" w:w="100"/>
              <w:right w:type="dxa" w:w="120"/>
            </w:tcMar>
          </w:tcPr>
          <w:p>
            <w:r>
              <w:rPr>
                <w:b w:val="false"/>
                <w:bCs w:val="false"/>
                <w:sz w:val="20"/>
                <w:szCs w:val="20"/>
              </w:rPr>
              <w:t xml:space="preserve">Bar chart (state ranking, dynamic color)</w:t>
            </w:r>
          </w:p>
        </w:tc>
        <w:tc>
          <w:tcPr>
            <w:tcW w:type="dxa" w:w="4800"/>
            <w:shd w:fill="FFFFFF" w:val="clear"/>
            <w:tcMar>
              <w:top w:type="dxa" w:w="100"/>
              <w:left w:type="dxa" w:w="120"/>
              <w:bottom w:type="dxa" w:w="100"/>
              <w:right w:type="dxa" w:w="120"/>
            </w:tcMar>
          </w:tcPr>
          <w:p>
            <w:r>
              <w:rPr>
                <w:b w:val="false"/>
                <w:bCs w:val="false"/>
                <w:sz w:val="20"/>
                <w:szCs w:val="20"/>
              </w:rPr>
              <w:t xml:space="preserve">Bar mark, sorted, color encoded by a calculated field (e.g., IF [Yield] &gt; [National Avg] THEN...)</w:t>
            </w:r>
          </w:p>
        </w:tc>
      </w:tr>
      <w:tr>
        <w:tc>
          <w:tcPr>
            <w:tcW w:type="dxa" w:w="4400"/>
            <w:shd w:fill="F5F5F5" w:val="clear"/>
            <w:tcMar>
              <w:top w:type="dxa" w:w="100"/>
              <w:left w:type="dxa" w:w="120"/>
              <w:bottom w:type="dxa" w:w="100"/>
              <w:right w:type="dxa" w:w="120"/>
            </w:tcMar>
          </w:tcPr>
          <w:p>
            <w:r>
              <w:rPr>
                <w:b w:val="false"/>
                <w:bCs w:val="false"/>
                <w:sz w:val="20"/>
                <w:szCs w:val="20"/>
              </w:rPr>
              <w:t xml:space="preserve">Box plot (rainfall by crop)</w:t>
            </w:r>
          </w:p>
        </w:tc>
        <w:tc>
          <w:tcPr>
            <w:tcW w:type="dxa" w:w="4800"/>
            <w:shd w:fill="F5F5F5" w:val="clear"/>
            <w:tcMar>
              <w:top w:type="dxa" w:w="100"/>
              <w:left w:type="dxa" w:w="120"/>
              <w:bottom w:type="dxa" w:w="100"/>
              <w:right w:type="dxa" w:w="120"/>
            </w:tcMar>
          </w:tcPr>
          <w:p>
            <w:r>
              <w:rPr>
                <w:b w:val="false"/>
                <w:bCs w:val="false"/>
                <w:sz w:val="20"/>
                <w:szCs w:val="20"/>
              </w:rPr>
              <w:t xml:space="preserve">Box-and-whisker mark type, one box per crop dimension member</w:t>
            </w:r>
          </w:p>
        </w:tc>
      </w:tr>
      <w:tr>
        <w:tc>
          <w:tcPr>
            <w:tcW w:type="dxa" w:w="4400"/>
            <w:shd w:fill="FFFFFF" w:val="clear"/>
            <w:tcMar>
              <w:top w:type="dxa" w:w="100"/>
              <w:left w:type="dxa" w:w="120"/>
              <w:bottom w:type="dxa" w:w="100"/>
              <w:right w:type="dxa" w:w="120"/>
            </w:tcMar>
          </w:tcPr>
          <w:p>
            <w:r>
              <w:rPr>
                <w:b w:val="false"/>
                <w:bCs w:val="false"/>
                <w:sz w:val="20"/>
                <w:szCs w:val="20"/>
              </w:rPr>
              <w:t xml:space="preserve">Heatmap (correlation matrix)</w:t>
            </w:r>
          </w:p>
        </w:tc>
        <w:tc>
          <w:tcPr>
            <w:tcW w:type="dxa" w:w="4800"/>
            <w:shd w:fill="FFFFFF" w:val="clear"/>
            <w:tcMar>
              <w:top w:type="dxa" w:w="100"/>
              <w:left w:type="dxa" w:w="120"/>
              <w:bottom w:type="dxa" w:w="100"/>
              <w:right w:type="dxa" w:w="120"/>
            </w:tcMar>
          </w:tcPr>
          <w:p>
            <w:r>
              <w:rPr>
                <w:b w:val="false"/>
                <w:bCs w:val="false"/>
                <w:sz w:val="20"/>
                <w:szCs w:val="20"/>
              </w:rPr>
              <w:t xml:space="preserve">Highlight table, diverging color palette, calculated correlation via Tableau's built-in CORR() or a pre-computed field</w:t>
            </w:r>
          </w:p>
        </w:tc>
      </w:tr>
      <w:tr>
        <w:tc>
          <w:tcPr>
            <w:tcW w:type="dxa" w:w="4400"/>
            <w:shd w:fill="F5F5F5" w:val="clear"/>
            <w:tcMar>
              <w:top w:type="dxa" w:w="100"/>
              <w:left w:type="dxa" w:w="120"/>
              <w:bottom w:type="dxa" w:w="100"/>
              <w:right w:type="dxa" w:w="120"/>
            </w:tcMar>
          </w:tcPr>
          <w:p>
            <w:r>
              <w:rPr>
                <w:b w:val="false"/>
                <w:bCs w:val="false"/>
                <w:sz w:val="20"/>
                <w:szCs w:val="20"/>
              </w:rPr>
              <w:t xml:space="preserve">Scatter plot (area vs. yield)</w:t>
            </w:r>
          </w:p>
        </w:tc>
        <w:tc>
          <w:tcPr>
            <w:tcW w:type="dxa" w:w="4800"/>
            <w:shd w:fill="F5F5F5" w:val="clear"/>
            <w:tcMar>
              <w:top w:type="dxa" w:w="100"/>
              <w:left w:type="dxa" w:w="120"/>
              <w:bottom w:type="dxa" w:w="100"/>
              <w:right w:type="dxa" w:w="120"/>
            </w:tcMar>
          </w:tcPr>
          <w:p>
            <w:r>
              <w:rPr>
                <w:b w:val="false"/>
                <w:bCs w:val="false"/>
                <w:sz w:val="20"/>
                <w:szCs w:val="20"/>
              </w:rPr>
              <w:t xml:space="preserve">Scatter mark with a trend line enabled</w:t>
            </w:r>
          </w:p>
        </w:tc>
      </w:tr>
      <w:tr>
        <w:tc>
          <w:tcPr>
            <w:tcW w:type="dxa" w:w="4400"/>
            <w:shd w:fill="FFFFFF" w:val="clear"/>
            <w:tcMar>
              <w:top w:type="dxa" w:w="100"/>
              <w:left w:type="dxa" w:w="120"/>
              <w:bottom w:type="dxa" w:w="100"/>
              <w:right w:type="dxa" w:w="120"/>
            </w:tcMar>
          </w:tcPr>
          <w:p>
            <w:r>
              <w:rPr>
                <w:b w:val="false"/>
                <w:bCs w:val="false"/>
                <w:sz w:val="20"/>
                <w:szCs w:val="20"/>
              </w:rPr>
              <w:t xml:space="preserve">Live-updating drill-down table</w:t>
            </w:r>
          </w:p>
        </w:tc>
        <w:tc>
          <w:tcPr>
            <w:tcW w:type="dxa" w:w="4800"/>
            <w:shd w:fill="FFFFFF" w:val="clear"/>
            <w:tcMar>
              <w:top w:type="dxa" w:w="100"/>
              <w:left w:type="dxa" w:w="120"/>
              <w:bottom w:type="dxa" w:w="100"/>
              <w:right w:type="dxa" w:w="120"/>
            </w:tcMar>
          </w:tcPr>
          <w:p>
            <w:r>
              <w:rPr>
                <w:b w:val="false"/>
                <w:bCs w:val="false"/>
                <w:sz w:val="20"/>
                <w:szCs w:val="20"/>
              </w:rPr>
              <w:t xml:space="preserve">Detail worksheet linked via a Dashboard Action (filter on select)</w:t>
            </w:r>
          </w:p>
        </w:tc>
      </w:tr>
      <w:tr>
        <w:tc>
          <w:tcPr>
            <w:tcW w:type="dxa" w:w="4400"/>
            <w:shd w:fill="F5F5F5" w:val="clear"/>
            <w:tcMar>
              <w:top w:type="dxa" w:w="100"/>
              <w:left w:type="dxa" w:w="120"/>
              <w:bottom w:type="dxa" w:w="100"/>
              <w:right w:type="dxa" w:w="120"/>
            </w:tcMar>
          </w:tcPr>
          <w:p>
            <w:r>
              <w:rPr>
                <w:b w:val="false"/>
                <w:bCs w:val="false"/>
                <w:sz w:val="20"/>
                <w:szCs w:val="20"/>
              </w:rPr>
              <w:t xml:space="preserve">Tab switch (Farmer / Agronomist)</w:t>
            </w:r>
          </w:p>
        </w:tc>
        <w:tc>
          <w:tcPr>
            <w:tcW w:type="dxa" w:w="4800"/>
            <w:shd w:fill="F5F5F5" w:val="clear"/>
            <w:tcMar>
              <w:top w:type="dxa" w:w="100"/>
              <w:left w:type="dxa" w:w="120"/>
              <w:bottom w:type="dxa" w:w="100"/>
              <w:right w:type="dxa" w:w="120"/>
            </w:tcMar>
          </w:tcPr>
          <w:p>
            <w:r>
              <w:rPr>
                <w:b w:val="false"/>
                <w:bCs w:val="false"/>
                <w:sz w:val="20"/>
                <w:szCs w:val="20"/>
              </w:rPr>
              <w:t xml:space="preserve">Two dashboards in one workbook, linked by a navigation button</w:t>
            </w:r>
          </w:p>
        </w:tc>
      </w:tr>
    </w:tbl>
    <w:p>
      <w:pPr>
        <w:pStyle w:val="Heading1"/>
        <w:pBdr>
          <w:bottom w:val="single" w:color="2E7D32" w:sz="8" w:space="4"/>
        </w:pBdr>
        <w:spacing w:after="160" w:before="360"/>
      </w:pPr>
      <w:r>
        <w:rPr>
          <w:b/>
          <w:bCs/>
          <w:color w:val="2E7D32"/>
          <w:sz w:val="30"/>
          <w:szCs w:val="30"/>
        </w:rPr>
        <w:t xml:space="preserve">8. Conclusion</w:t>
      </w:r>
    </w:p>
    <w:p>
      <w:pPr>
        <w:spacing w:after="160" w:line="276"/>
      </w:pPr>
      <w:r>
        <w:rPr>
          <w:sz w:val="22"/>
          <w:szCs w:val="22"/>
        </w:rPr>
        <w:t>This deliverable consists of a published Tableau Public dashboard followed by a standalone HTML/Plotly implementation based on the Tableau dashboard design. Tableau Public was used to create the primary Farmer and Agronomist views, filters, visualizations, and dashboard structure. The same design was then implemented in Plotly.js to provide a more interactive browser-based web experience.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2026-08-24T11:14:53.652Z</dcterms:created>
  <dcterms:modified xsi:type="dcterms:W3CDTF">2026-08-24T11:14:53.664Z</dcterms:modified>
</cp:coreProperties>
</file>

<file path=docProps/custom.xml><?xml version="1.0" encoding="utf-8"?>
<Properties xmlns="http://schemas.openxmlformats.org/officeDocument/2006/custom-properties" xmlns:vt="http://schemas.openxmlformats.org/officeDocument/2006/docPropsVTypes"/>
</file>