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Study 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Study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NCT Number:                   NCT04270383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Title:                        Clinical Characteristics and Long-term Prognosis of 2019-nCoV Infection in Children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Acronym: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Status:                       Not yet recruiting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Conditions:                   2019-nCoV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Interventions: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Outcome Measures:             The cure rate of 2019-nCoV.|The improvement rate of 2019-nCoV.|The incidence of long-term adverse outcomes.|Duration of fever|Duration of respiratory symptoms|Duration of hospitalization|Number of participant(s) need intensive care|Number of participant(s) with acute respiratory distress syndrome|Number of participant(s) with extra-pulmonary complications, including shock, renal failure, multiple organ failure, hemophagocytosis syndrome, et al.|Number of participant(s) who died during the trial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Sponsor/Collaborators:        Beijing Children's Hospital|Capital Institute of Pediatrics, China|The First Affiliated Hospital of Anhui Medical University|China-Japan Friendship Hospital|The First Affiliated Hospital of Xiamen University|Guangzhou Women and Children's Medical Center|Shenzhen Children's Hospital|First Affiliated Hospital of Guangxi Medical University|The Affiliated Hospital Of Guizhou Medical University|Hainan People's Hospital|Children's Hospital of Hebei Province|Wuhan Women and Children's Medical Center|Changchun Children's Hospital|Children’s Hospital of Nanjing Medical University|Jiangxi Province Children's Hospital|Shengjing Hospital|Shanxi Provincial Maternity and Children's Hospital|Xian Children's Hospital|Children's Hospital of Chongqing Medical University|Tianjin Children's Hospital|Tianjin Medical University Second Hospital|Kunming Children's Hospital|Second Affiliated Hospital of Wenzhou Medical University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Gender:                       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Age:                          up to 18 Years   (Child, Adult)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Phases:   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Enrollment:                   500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Funded Bys:                   Other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Study Type:                   Observational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Study Designs:                Observational Model: Cohort|Time Perspective: Prospective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Other IDs:                    BCH Lung 012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Start Date:                   February 15, 2020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Primary Completion Date:      December 31, 2020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Completion Date:              December 31, 2020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First Posted:                 February 17, 2020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Results First Posted: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Last Update Posted:           February 17, 2020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Locations:                    Beijing Children's Hospital,, Beijing, China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Study Documents: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https://ClinicalTrials.gov/show/NCT04270383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Study 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NCT Number:                   NCT04259892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Title:                        Viral Excretion in Contact Subjects at High/Moderate Risk of Coronavirus 2019-nCoV Infection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Acronym:                      Cov-CONTACT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Status:                       Recruiting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Conditions:                   Coronavirus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Interventions:                Biological: 2019-nCoV PCR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Outcome Measures:             Number of Participants with presence of 2019-nCoV in at least one of nasopharyngeal swab|For each participant, time (days) between the last contact with the laboratory-confirmed 2019-nCoV case and the first positive PCR|For each participant, time (days) between the first positive PCR and the first negative PCR|Number of Participants with presence of at least one of the following symptoms: fever &gt; 38°C, asthenia/fatigue/malaise, headache, thrills/sweating, myalgia/aches, cough, dyspnea, Acute Respiratory Distress Syndrome, diarrhe|Number of Participants with positive serology in the 90 days following last contact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Sponsor/Collaborators:        Institut National de la Santé Et de la Recherche Médicale, France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Gender:                       All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Age:                          Child, Adult, Older Adult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Phases: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Enrollment:                   300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Funded Bys:                   Other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Study Type:                   Observational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Study Designs:                Observational Model: Cohort|Time Perspective: Prospective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Other IDs:                    C20-06|2020-A00280-39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Start Date:                   February 4, 2020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Primary Completion Date:      October 4, 2020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Completion Date:              February 4, 2021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First Posted:                 February 7, 2020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Results First Posted: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Last Update Posted:           February 17, 2020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Locations:                    CIC 1425, Paris, France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Study Documents: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https://ClinicalTrials.gov/show/NCT04259892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Study 3: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NCT Number:                   NCT04245631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Title:                        Development of a Simple, Fast and Portable Recombinase Aided Amplification Assay for 2019-nCoV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Acronym:      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Status:                       Recruiting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Conditions:                   New Coronavirus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Interventions:                Diagnostic Test: Recombinase aided amplification (RAA) assay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Outcome Measures:             Detection sensitivity is greater than 95%|Detection specificity is greater than 95%|Consistent with existing universal reagent detection rates greater than 95%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Sponsor/Collaborators:        Beijing Ditan Hospital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Gender:                       All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Age:                          1 Year to 90 Years   (Child, Adult, Older Adult)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Phases:        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Enrollment:                   50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Funded Bys:                   Other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Study Type:                   Observational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Study Designs:                Observational Model: Cohort|Time Perspective: Prospective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Other IDs:                    DTXY022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Start Date:                   January 1, 2020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Primary Completion Date:      December 31, 2020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Completion Date:              December 31, 2020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First Posted:                 January 29, 2020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Results First Posted: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Last Update Posted:           January 29, 2020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Locations:                    Department of Hepatology Division 2, Beijing Ditan Hospital, Beijing, Beijing, China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Study Documents: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https://ClinicalTrials.gov/show/NCT04245631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Study 4: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NCT Number:                   NCT04252664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Title:                        Mild/Moderate 2019-nCoV Remdesivir RCT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Acronym:        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Status:                       Not yet recruiting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Conditions:                   2019-nCoV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Interventions:                Drug: Remdesivir|Drug: Remdesivir placebo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Outcome Measures:             Time to Clinical recoveryTime to Clinical Recovery (TTCR)|All cause mortality|Frequency of respiratory progression|Time to defervescence (in those with fever at enrolment)|Time to cough reported as mild or absent (in those with cough at enrolment rated severe or moderate)|Time to dyspnea reported as mild or absent (on a scale of severe, moderate, mild absent, in those with dyspnoea at enrolment rated as severe or moderate,)|Frequency of requirement for supplemental oxygen or non-invasive ventilation|Time to 2019-nCoV RT-PCR negative in upper respiratory tract specimen|Change (reduction) in 2019-nCoV viral load in upper respiratory tract specimen as assessed by area under viral load curve.|Frequency of requirement for mechanical ventilation|Frequency of serious adverse events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Sponsor/Collaborators:        Capital Medical University|Chinese Academy of Medical Sciences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Gender:                       All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Age:                          18 Years and older   (Adult, Older Adult)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Phases:                       Phase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Enrollment:                   308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Funded Bys:                   Other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Study Type:                   Interventional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Study Designs:                Allocation: Randomized|Intervention Model: Parallel Assignment|Masking: Quadruple (Participant, Care Provider, Investigator, Outcomes Assessor)|Primary Purpose: Treatment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Other IDs:                    CAP-China remdesivir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Start Date:                   February 5, 2020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Primary Completion Date:      April 10, 2020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Completion Date:              April 27, 2020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First Posted:                 February 5, 2020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Results First Posted: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Last Update Posted:           February 5, 2020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Locations:        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Study Documents:     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https://ClinicalTrials.gov/show/NCT04252664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Study 5: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NCT Number:                   NCT04264858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Title:                        Treatment of Acute Severe 2019-nCoV Pneumonia With Immunoglobulin From Cured Patients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Acronym:              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Status:                       Not yet recruiting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Conditions:                   2019-nCoV|Immunoglobulin of Cured Patients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Interventions:                Drug: Immunoglobulin of cured patients|Drug: γ-Globulin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Outcome Measures:             Time to Clinical Improvement (TTCI)|Clinical status assessed by the ordinal scale|The differences in oxygen intake methods|Duration (days) of supplemental oxygenation|Duration (days) of mechanical ventilation|The mean PaO2/FiO2|The lesions of the pulmonary segment numbers involved in pulmonary CT [ every 7 days]|Time to 2019-nCoV RT-PCR negativity in respiratory tract specimens [every 3 days]|Dynamic changes of 2019-nCoV antibody titer in blood|Length of hospital stay (days)|All cause mortality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Sponsor/Collaborators:        Wuhan Union Hospital, China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Gender:                       All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Age:                          18 Years and older   (Adult, Older Adult)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Phases:                       Not Applicable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Enrollment:                   10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Funded Bys:                   Other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Study Type:                   Interventional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Study Designs:                Allocation: Non-Randomized|Intervention Model: Parallel Assignment|Masking: None (Open Label)|Primary Purpose: Treatment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Other IDs:                    WuhanUH-2019 nCoV-Ig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Start Date:                   February 17, 2020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Primary Completion Date:      April 30, 2020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Completion Date:              May 31, 2020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First Posted:                 February 11, 2020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Results First Posted: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Last Update Posted:           February 11, 2020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Locations:                    Department of Cardiology, Union Hospital, Tongji Medical College, Huazhong University of Science and Technology, Wuhan, Hubei, China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Study Documents:      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https://ClinicalTrials.gov/show/NCT04264858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Study 6: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NCT Number:                   NCT04251871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Title:                        Treatment and Prevention of Traditional Chinese Medicines (TCMs) on 2019-nCoV Infection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Acronym:              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Status:                       Recruiting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Conditions:                   Pneumonia Caused by Human Coronavirus (Disorder)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Interventions:                Drug: Conventional medicines (Oxygen therapy, alfa interferon via aerosol inhalation, and lopinavir/ritonavir) and Traditional Chinese Medicines (TCMs) granules|Drug: Conventional medicines (Oxygen therapy, alfa interferon via aerosol inhalation, and lopinavir/ritonavir)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Outcome Measures:             Time to complete remission of 2019-nCoV infection-associated symptoms|The incidence of dyspnea with low oxygen saturation level and high respiratory rate|Number of subjects who develop complications of 2019-nCoV infection|Time to virus shedding|Time to improvement of abnormalities in Chest radiology|The evaluation of Traditional Chinese Medicine (TCM) symptoms before and after treatment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Sponsor/Collaborators:        Beijing 302 Hospital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Gender:                       All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Age:                          14 Years to 80 Years   (Child, Adult, Older Adult)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Phases:                       Not Applicable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Enrollment:                   150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Funded Bys:                   Other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Study Type:                   Interventional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Study Designs:                Allocation: Randomized|Intervention Model: Parallel Assignment|Masking: None (Open Label)|Primary Purpose: Treatment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Other IDs:                    2020001D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Start Date:                   January 22, 2020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Primary Completion Date:      January 22, 2021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Completion Date:              January 22, 2021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First Posted:                 February 5, 2020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Results First Posted: 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Last Update Posted:           February 5, 2020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Locations:                    The Fifth Medical Center, General Hospital of PLA, Beijing, Beijing, China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Study Documents:        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https://ClinicalTrials.gov/show/NCT04251871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Study 7: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NCT Number:                   NCT04261426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Title:                        The Efficacy of Intravenous Immunoglobulin Therapy for Severe 2019-nCoV Infected Pneumonia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Acronym:              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Status:                       Not yet recruiting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Conditions:                   2019-nCoV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Interventions:                Drug: Intravenous Immunoglobulin|Other: Standard care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Outcome Measures:             Clinical improvement based on the 7-point scale|Lower Murray lung injury score|28-day mortality|Duration of mechanical ventilation|Duration of hospitalization|Proportion of patients with negative RT-PCR results|Proportion of patients in each category of the 7-point scale|Proportion of patients with normalized inflammation factors|Frequency of Adverse Drug Events|Frequency of Serious Adverse Drug Events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Sponsor/Collaborators:        Peking Union Medical College Hospital|Tongji Hospital of Tongji Medical College, Huazhong University of Science and Technology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Gender:                       All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Age:                          18 Years and older   (Adult, Older Adult)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Phases:                       Phase 2|Phase 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Enrollment:                   80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Funded Bys:                   Other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Study Type:                   Interventional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Study Designs:                Allocation: Randomized|Intervention Model: Parallel Assignment|Masking: None (Open Label)|Primary Purpose: Treatment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Other IDs:                    IVIG-001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Start Date:                   February 10, 2020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Primary Completion Date:      April 30, 2020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Completion Date:              June 30, 2020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First Posted:                 February 7, 2020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Results First Posted:   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Last Update Posted:           February 7, 2020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Locations:            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Study Documents:      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https://ClinicalTrials.gov/show/NCT04261426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Study 8: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NCT Number:                   NCT04268537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Title:                        Immunoregulatory Therapy for 2019-nCoV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Acronym:              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Status:                       Not yet recruiting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Conditions:                   2019 nCoV, PD-1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Interventions:                Drug: PD-1 blocking antibody+standard treatment|Drug: Thymosin+standard treatment|Other: standard treatment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Outcome Measures:             lung injury score|absolute lymphocyte counts|serum level of CRP, PCT and IL-6|SOFA score|all cause mortality rate|ventilation free days|ICU free days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Sponsor/Collaborators:        Southeast University, China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Gender:                       All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Age:                          18 Years and older   (Adult, Older Adult)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Phases:                       Phase 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Enrollment:                   120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Funded Bys:                   Other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Study Type:                   Interventional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Study Designs:                Allocation: Randomized|Intervention Model: Parallel Assignment|Masking: Single (Participant)|Primary Purpose: Treatment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Other IDs:                    2020YFC0841300-03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Start Date:                   February 10, 2020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Primary Completion Date:      April 30, 2020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Completion Date:              October 31, 2020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First Posted:                 February 13, 2020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Results First Posted:     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Last Update Posted:           February 13, 2020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Locations:            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Study Documents:      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https://ClinicalTrials.gov/show/NCT04268537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Study 9: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NCT Number:                   NCT04254874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Title:                        A Prospective,Randomized Controlled Clinical Study of Interferon Atomization in the 2019-nCoV Pneumonia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Acronym:              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Status:                       Not yet recruiting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Conditions:                   2019-nCoV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Interventions:                Drug: Abidol hydrochloride|Drug: Abidol Hydrochloride combined with Interferon atomization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Outcome Measures:             Rate of disease remission|Time for lung recovery|Rate of no fever|Rate of respiratory symptom remission|Rate of lung imaging recovery|Rate of CRP,ES,Biochemical criterion (CK,ALT,Mb)recovery|Rate of undetectable viral RNA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Sponsor/Collaborators:        Tongji Hospital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Gender:                       All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Age:                          18 Years and older   (Adult, Older Adult)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Phases:                       Phase 4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Enrollment:                   100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Funded Bys:                   Other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Study Type:                   Interventional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Study Designs:                Allocation: Randomized|Intervention Model: Parallel Assignment|Masking: Single (Participant)|Primary Purpose: Treatment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Other IDs:                    TJ20200131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Start Date:                   February 1, 2020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Primary Completion Date:      June 1, 2020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Completion Date:              July 1, 2020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First Posted:                 February 5, 2020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Results First Posted: 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Last Update Posted:           February 5, 2020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Locations:                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Study Documents:      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https://ClinicalTrials.gov/show/NCT04254874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Study 10: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NCT Number:                   NCT04255017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Title:                        A Prospective,Randomized Controlled Clinical Study of Antiviral Therapy in the 2019-nCoV Pneumonia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Acronym:              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Status:                       Not yet recruiting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Conditions:                   2019-nCoV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Interventions:                Drug: Abidol hydrochloride|Drug: Oseltamivir|Drug: Lopinavir/ritonavir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Outcome Measures:             Rate of disease remission|Time for lung recovery|Rate of no fever|Rate of respiratory symptom remission|Rate of lung imaging recovery|Rate of CRP,ES,Biochemical criterion(CK,ALT,Mb) recovery|Rate of undetectable viral RNA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Sponsor/Collaborators:        Tongji Hospital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Gender:                       All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Age:                          18 Years and older   (Adult, Older Adult)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Phases:                       Phase 4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Enrollment:                   400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Funded Bys:                   Other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Study Type:                   Interventional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Study Designs:                Allocation: Randomized|Intervention Model: Parallel Assignment|Masking: Single (Participant)|Primary Purpose: Treatment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Other IDs:                    TJ20200128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Start Date:                   February 1, 2020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Primary Completion Date:      June 1, 2020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Completion Date:              July 1, 2020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First Posted:                 February 5, 2020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Results First Posted:   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Last Update Posted:           February 5, 2020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Locations:             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Study Documents:          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https://ClinicalTrials.gov/show/NCT04255017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