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Study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Title:                        Efficacy of a Self-test and Self-alert Mobile Applet in Detecting Susceptible Infection of COVID-19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Conditions:                   Susceptibility to Viral and Mycobacterial Infection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Interventions:                Other: mobile internet survey on self-test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Locations:                    Beijing Tsinghua Changgung Hospital, Beijing, Beijing, China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https://ClinicalTrials.gov/show/NCT04256395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Study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Title:                        The COVID-19 Mobile Health Study (CMHS)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Conditions:                   COVID-19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Interventions:                Other: nCapp, a cell phone-based auto-diagnosis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Locations:                    Renmin Hospital of Wuhan University, Wuhan, Hubei, China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https://ClinicalTrials.gov/show/NCT04275947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Study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Title:                        The Efficacy and Safety of Thalidomide Combined With Low-dose Hormones in the Treatment of Severe COVID-19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Conditions:                   COVID-19 Thalidomide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Interventions:                Drug: placebo|Drug: Thalidomide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https://ClinicalTrials.gov/show/NCT04273581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Study 4: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Title:                        The Efficacy and Safety of Thalidomide in the Adjuvant Treatment of Moderate New Coronavirus (COVID-19) Pneumonia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Conditions:                   COVID-19 Thalidomide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Interventions:                Drug: thalidomide|Drug: placebo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https://ClinicalTrials.gov/show/NCT04273529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Study 5: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Title:                        The Investigation of the Neonates With or With Risk of COVID-19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Conditions:                   Neonatal Infection|Perinatal Problems|Infectious Disease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Interventions: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Locations:                    Maternal and Child Health Hospital of Hubei Province, Wuhan, Hubei, China|Children Hospital of Fudan University, Shanghai, Shanghai, China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https://ClinicalTrials.gov/show/NCT04279899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Study 6: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Title:                        Fingolimod in COVID-19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Conditions:                   Coronavirus Disease (COVID-19)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Interventions:                Drug: Fingolimod 0.5 mg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Locations:                    Wan-Jin Chen, Fuzhou, China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https://ClinicalTrials.gov/show/NCT04280588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Study 7: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Title:                        Efficacy and Safety of Corticosteroids in COVID-19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Conditions:                   COVID-19|Novel Coronavirus Pneumonia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Interventions:                Drug: Methylprednisolone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Locations:                    Hubei province hospital of integrated Chinese &amp; Western Medicine, Wuhan, Hubei, China|Yichang first people's Hospital, Yichang, Hubei, China|Renmin Hospital of Wuhan University, Wuhan, China|Tianyou Hospital Affiliated to Wuhan University of science and technology, Wuhan, China|Union Hospital Affiliated to Tongji Medical College of Huazhong University of science and technology, Wuhan, China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https://ClinicalTrials.gov/show/NCT04273321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Study 8: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Title:                        Evaluating the Efficacy and Safety of Bromhexine Hydrochloride Tablets Combined With Standard Treatment/ Standard Treatment in Patients With Suspected and Mild Novel Coronavirus Pneumonia (COVID-19)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Status:                       Enrolling by invitation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Conditions:                   Novel Coronavirus Pneumonia|2019-nCoV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Interventions:                Drug: Bromhexine Hydrochloride Tablets|Drug: Arbidol Hydrochloride Granules|Drug: Recombinant Human Interferon α2b Spray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Locations:                    The Second AffIliated Hospital of Wenzhou Medical University, Wenzhou, Zhejiang, China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https://ClinicalTrials.gov/show/NCT04273763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Study 9: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Title:                        Clinical Outcomes of Patients With COVID19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Conditions:                   Coronavirus Disease 2019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Interventions:                Other: retrospective analysis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https://ClinicalTrials.gov/show/NCT04280913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Study 10: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Title:                        Bevacizumab in Severe or Critical Patients With COVID-19 Pneumonia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Conditions:                   Coronavirus Infections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Interventions:                Drug: Bevacizumab Injection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Locations:                    Qilu Hospital of Shandong University, Jinan, Shandong, China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https://ClinicalTrials.gov/show/NCT04275414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