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Study List: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Study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NCT Number:                   NCT04252885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Title:                        The Efficacy of Lopinavir Plus Ritonavir and Arbidol Against Novel Coronavirus Infection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Acronym:                      ELACOI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Conditions:                   Coronavirus Infections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Interventions:                Drug: Lopinavir and Ritonavir Tablets|Drug: Arbidol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Outcome Measures:             The rate of virus inhibition|The disease prorogation-temperature|The disease prorogation-respiratory function 1|The disease prorogation-respiratory function 2|The disease prorogation-respiratory function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Sponsor/Collaborators:        Guangzhou 8th People's Hospital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Age:                          18 Years to 80 Years   (Adult, Older Adult)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Phases:                       Phase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Enrollment:                   125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Other IDs:                    GZ8H-V1.0 20200122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Start Date:                   January 28, 2020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Primary Completion Date:      May 30, 2020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Completion Date:              July 31, 2020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Locations:                    Guangzhou Eighth People's Hospital, Guangzhou, Guangdong, China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https://ClinicalTrials.gov/show/NCT04252885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Study 2: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NCT Number:                   NCT02845843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Title:                        MERS-CoV Infection tReated With A Combination of Lopinavir /Ritonavir and Interferon Beta-1b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Acronym:                      MIRACLE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Conditions:                   Middle East Respiratory Syndrome Coronavirus (MERS-CoV)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Interventions:                Drug: Combination of Lopinavir /Ritonavir and Interferon beta-1b|Drug: Placebo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Outcome Measures:             90-day mortality|Organ support-free days (e.g., supplemental O2, ventilator, extracorporeal membrane oxygenation (ECMO), renal replacement and vasopressors)|RT-PCR cycle threshold value in the lower respiratory samples|Sequential organ failure assessment (SOFA) scores|Length of stay in ICU|Length of stay in hospital|Duration of mechanical ventilation|Hospital-acquired infections as assessed by the NHSN 2016 definitions|Serial chest radiograph findings|Number of Patients with Adverse drug reactions related to the treatment|Karnofsky Performance Scale|ICU mortality|Hospital mortality|28-day mortality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Sponsor/Collaborators:        King Abdullah International Medical Research Center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Phases:                       Phase 2|Phase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Enrollment:                   194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Quadruple (Participant, Care Provider, Investigator, Outcomes Assessor)|Primary Purpose: Treatment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Other IDs:                    KingAbdullahIMRC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Start Date:                   July 2016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Primary Completion Date:      December 2020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Completion Date:              December 2020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First Posted:                 July 27, 2016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Last Update Posted:           March 7, 2019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Locations:                    Intensive Care Unit, King Abdulaziz Medical City, National Guard Health Affairs, Riyadh, Saudi Arabia|King Abdullah International Medical Research Center, Riyadh, Saudi Arabia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https://ClinicalTrials.gov/show/NCT02845843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Study 3: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NCT Number:                   NCT04261907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Title:                        Evaluating and Comparing the Safety and Efficiency of ASC09/Ritonavir and Lopinavir/Ritonavir for Novel Coronavirus Infection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Conditions:                   2019-nCoV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Interventions:                Drug: ASC09/ritonavir group|Drug: lopinavir/ritonavir group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Outcome Measures:             The incidence of composite adverse outcome|Time to recovery|Rate of no fever|Rate of no cough|Rate of no dyspnea|Rate of no requring supplemental oxygen|Rate of undectable viral RNA|Rate of mechanical ventilation|Rate of ICU admission|Time and rate of laboratory indicators related to disease improvement to return to normal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Sponsor/Collaborators:        First Affiliated Hospital of Zhejiang University|Ascletis Pharmaceuticals Co., Ltd.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Age:                          18 Years to 75 Years   (Adult, Older Adult)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Enrollment:                   160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Funded Bys:                   Other|Industry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Other IDs:                    ASC09F-CTP-ZY-01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Start Date:                   February 7, 2020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Primary Completion Date:      May 31, 2020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Completion Date:              June 30, 2020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First Posted:                 February 10, 2020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Last Update Posted:           February 10, 2020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https://ClinicalTrials.gov/show/NCT04261907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Study 4: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NCT Number:                   NCT04276688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Title:                        Lopinavir/ Ritonavir, Ribavirin and IFN-beta Combination for nCoV Treatment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Conditions:                   Novel Coronavirus Infection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Interventions:                Drug: Lopinavir/ritonavir|Drug: Ribavirin|Drug: Interferon Beta-1B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Outcome Measures:             Time to negative NPS|Time to negative saliva|Time to clinical improvement|Hospitalisation|Mortality|Immune reaction|Adverse events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Sponsor/Collaborators:        The University of Hong Kong|Hospital Authority, Hong Kong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Phases:                       Phase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Enrollment:                   70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Other IDs:                    UW-20-074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Start Date:                   February 10, 2020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Primary Completion Date:      January 31, 2022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Completion Date:              July 31, 2022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First Posted:                 February 19, 2020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Last Update Posted:           February 19, 2020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https://ClinicalTrials.gov/show/NCT04276688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Study 5: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NCT Number:                   NCT04275388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Title:                        Xiyanping Injection for the Treatment of New Coronavirus Infected Pneumonia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Status:                       Not yet recruiting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Conditions:                   2019 Novel Coronavirus Pneumonia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Interventions:                Drug: Xiyanping injection|Drug: Lopinavir / ritonavir, alpha-interferon nebulization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Outcome Measures:             Clinical recovery time|Complete fever time|Cough relief time|Virus negative time|Incidence of severe or critical neocoronavirus pneumonia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Sponsor/Collaborators:        Jiangxi Qingfeng Pharmaceutical Co. Ltd.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Age:                          18 Years to 70 Years   (Adult, Older Adult)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Enrollment:                   348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Funded Bys:                   Industry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Other IDs:                    QF-XYP2001-1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Start Date:                   February 14, 2020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Primary Completion Date:      May 14, 2020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Completion Date:              December 14, 2021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First Posted:                 February 19, 2020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Last Update Posted:           February 19, 2020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Locations:                   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https://ClinicalTrials.gov/show/NCT04275388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Study 6: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NCT Number:                   NCT04251871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Title:                        Treatment and Prevention of Traditional Chinese Medicines (TCMs) on 2019-nCoV Infection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Status:                       Recruiting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Conditions:                   Pneumonia Caused by Human Coronavirus (Disorder)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Interventions:                Drug: Conventional medicines (Oxygen therapy, alfa interferon via aerosol inhalation, and lopinavir/ritonavir) and Traditional Chinese Medicines (TCMs) granules|Drug: Conventional medicines (Oxygen therapy, alfa interferon via aerosol inhalation, and lopinavir/ritonavir)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Outcome Measures:             Time to complete remission of 2019-nCoV infection-associated symptoms|The incidence of dyspnea with low oxygen saturation level and high respiratory rate|Number of subjects who develop complications of 2019-nCoV infection|Time to virus shedding|Time to improvement of abnormalities in Chest radiology|The evaluation of Traditional Chinese Medicine (TCM) symptoms before and after treatment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Sponsor/Collaborators:        Beijing 302 Hospital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Age:                          14 Years to 80 Years   (Child, Adult, Older Adult)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Enrollment:                   150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None (Open Label)|Primary Purpose: Treatment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Other IDs:                    2020001D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Start Date:                   January 22, 2020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Primary Completion Date:      January 22, 2021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Completion Date:              January 22, 2021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First Posted:                 February 5, 2020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Last Update Posted:           February 5, 2020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Locations:                    The Fifth Medical Center, General Hospital of PLA, Beijing, Beijing, China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https://ClinicalTrials.gov/show/NCT04251871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Study 7: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NCT Number:                   NCT00578825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Title:                        A Multi-centre, Double-blinded, Randomized, Placebo-controlled Trial on the Efficacy and Safety of Lopinavir / Ritonavir Plus Ribavirin in the Treatment of Severe Acute Respiratory Syndrome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Acronym:                     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Status:                       Unknown status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Study Results:                No Results Available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Conditions:                   Severe Acute Respiratory Syndrome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Interventions:                Drug: Lopinavir / Ritonavir plus Ribavirin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Outcome Measures:             Development of severe SARS|Adverse events|SARS-CoV Viral load|Immunological profile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Sponsor/Collaborators:        Hospital Authority, Hong Kong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Gender:                       All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Age:                          18 Years and older   (Adult, Older Adult)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Phases:                       Not Applicable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Enrollment:                   340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Funded Bys:                   Other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Study Type:                   Interventional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Study Designs:                Allocation: Randomized|Intervention Model: Parallel Assignment|Masking: Double|Primary Purpose: Treatment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Other IDs:                    KW/FR/04-009|HARECCTR0500028|NTWC/CREC/349/05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Start Date:       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Primary Completion Date:  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Completion Date:            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First Posted:                 December 21, 2007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Results First Posted:        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Last Update Posted:           August 22, 2013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Locations:                    Department of Health, Hong Kong, China|Kowloon Hospital, Hong Kong, China|Prince of Wales Hospital, Hong Kong, China|Princess Margaret Hospital, Hong Kong, China|Queen Mary Hospital, Hong Kong, China|The Chinese University of Hong Kong, Hong Kong, China|The University of Hong Kong, Hong Kong, China|Tuen Mun Hospital, Hong Kong, China|United Christian Hospital, Hong Kong, China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Study Documents: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URL:                          https://ClinicalTrials.gov/show/NCT00578825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