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5E1B4" w14:textId="77777777" w:rsidR="00A61917" w:rsidRDefault="00A61917">
      <w:pPr>
        <w:spacing w:before="3000"/>
      </w:pPr>
    </w:p>
    <w:p w14:paraId="34A08824" w14:textId="77777777" w:rsidR="00A61917" w:rsidRDefault="00000000">
      <w:pPr>
        <w:spacing w:after="200"/>
        <w:jc w:val="center"/>
      </w:pPr>
      <w:r>
        <w:rPr>
          <w:b/>
          <w:bCs/>
          <w:color w:val="1B4F72"/>
          <w:sz w:val="56"/>
          <w:szCs w:val="56"/>
        </w:rPr>
        <w:t>OBJETS COGNITIFS</w:t>
      </w:r>
    </w:p>
    <w:p w14:paraId="0D939E14" w14:textId="77777777" w:rsidR="00A61917" w:rsidRDefault="00000000">
      <w:pPr>
        <w:pBdr>
          <w:bottom w:val="single" w:sz="4" w:space="8" w:color="E67E22"/>
        </w:pBdr>
        <w:spacing w:after="100"/>
        <w:jc w:val="center"/>
      </w:pPr>
      <w:r>
        <w:rPr>
          <w:color w:val="2E86C1"/>
          <w:sz w:val="32"/>
          <w:szCs w:val="32"/>
        </w:rPr>
        <w:t>Méthode complète de conception et d’exploitation</w:t>
      </w:r>
    </w:p>
    <w:p w14:paraId="7324264D" w14:textId="77777777" w:rsidR="00A61917" w:rsidRDefault="00000000">
      <w:pPr>
        <w:spacing w:before="200" w:after="100"/>
        <w:jc w:val="center"/>
      </w:pPr>
      <w:r>
        <w:rPr>
          <w:i/>
          <w:iCs/>
          <w:color w:val="566573"/>
          <w:sz w:val="26"/>
          <w:szCs w:val="26"/>
        </w:rPr>
        <w:t>Du cadrage stratégique à l’amélioration continue</w:t>
      </w:r>
    </w:p>
    <w:p w14:paraId="4CDE4B49" w14:textId="77777777" w:rsidR="00A61917" w:rsidRDefault="00000000">
      <w:pPr>
        <w:spacing w:before="400"/>
        <w:jc w:val="center"/>
      </w:pPr>
      <w:r>
        <w:rPr>
          <w:color w:val="566573"/>
        </w:rPr>
        <w:t>Guide méthodologique — Version 1.0</w:t>
      </w:r>
    </w:p>
    <w:p w14:paraId="06FB1E58" w14:textId="77777777" w:rsidR="00A61917" w:rsidRDefault="00000000">
      <w:pPr>
        <w:spacing w:before="100"/>
        <w:jc w:val="center"/>
      </w:pPr>
      <w:r>
        <w:rPr>
          <w:color w:val="566573"/>
        </w:rPr>
        <w:t>Février 2026</w:t>
      </w:r>
    </w:p>
    <w:p w14:paraId="6AC7BBE1" w14:textId="77777777" w:rsidR="00A61917" w:rsidRDefault="00000000">
      <w:r>
        <w:br w:type="page"/>
      </w:r>
    </w:p>
    <w:p w14:paraId="0B7FA37F" w14:textId="77777777" w:rsidR="00A61917" w:rsidRDefault="00000000">
      <w:pPr>
        <w:pStyle w:val="Titre1"/>
      </w:pPr>
      <w:bookmarkStart w:id="0" w:name="_Toc223038798"/>
      <w:r>
        <w:t>Table des matières</w:t>
      </w:r>
      <w:bookmarkEnd w:id="0"/>
    </w:p>
    <w:sdt>
      <w:sdtPr>
        <w:alias w:val="Table des matières"/>
        <w:id w:val="-1600249267"/>
      </w:sdtPr>
      <w:sdtContent>
        <w:p w14:paraId="3AB0033F" w14:textId="77777777" w:rsidR="00907974" w:rsidRDefault="00000000">
          <w:pPr>
            <w:pStyle w:val="TM1"/>
            <w:tabs>
              <w:tab w:val="right" w:leader="dot" w:pos="9016"/>
            </w:tabs>
            <w:rPr>
              <w:noProof/>
            </w:rPr>
          </w:pPr>
          <w:r>
            <w:fldChar w:fldCharType="begin"/>
          </w:r>
          <w:r>
            <w:instrText>TOC \h \o "1-3"</w:instrText>
          </w:r>
          <w:r>
            <w:fldChar w:fldCharType="separate"/>
          </w:r>
          <w:hyperlink w:anchor="_Toc223038798" w:history="1">
            <w:r w:rsidR="00907974" w:rsidRPr="009667F7">
              <w:rPr>
                <w:rStyle w:val="Lienhypertexte"/>
                <w:noProof/>
              </w:rPr>
              <w:t>Table des matières</w:t>
            </w:r>
            <w:r w:rsidR="00907974">
              <w:rPr>
                <w:noProof/>
              </w:rPr>
              <w:tab/>
            </w:r>
            <w:r w:rsidR="00907974">
              <w:rPr>
                <w:noProof/>
              </w:rPr>
              <w:fldChar w:fldCharType="begin"/>
            </w:r>
            <w:r w:rsidR="00907974">
              <w:rPr>
                <w:noProof/>
              </w:rPr>
              <w:instrText xml:space="preserve"> PAGEREF _Toc223038798 \h </w:instrText>
            </w:r>
            <w:r w:rsidR="00907974">
              <w:rPr>
                <w:noProof/>
              </w:rPr>
            </w:r>
            <w:r w:rsidR="00907974">
              <w:rPr>
                <w:noProof/>
              </w:rPr>
              <w:fldChar w:fldCharType="separate"/>
            </w:r>
            <w:r w:rsidR="00907974">
              <w:rPr>
                <w:noProof/>
              </w:rPr>
              <w:t>2</w:t>
            </w:r>
            <w:r w:rsidR="00907974">
              <w:rPr>
                <w:noProof/>
              </w:rPr>
              <w:fldChar w:fldCharType="end"/>
            </w:r>
          </w:hyperlink>
        </w:p>
        <w:p w14:paraId="0D796600" w14:textId="77777777" w:rsidR="00907974" w:rsidRDefault="00907974">
          <w:pPr>
            <w:pStyle w:val="TM1"/>
            <w:tabs>
              <w:tab w:val="right" w:leader="dot" w:pos="9016"/>
            </w:tabs>
            <w:rPr>
              <w:noProof/>
            </w:rPr>
          </w:pPr>
          <w:hyperlink w:anchor="_Toc223038799" w:history="1">
            <w:r w:rsidRPr="009667F7">
              <w:rPr>
                <w:rStyle w:val="Lienhypertexte"/>
                <w:noProof/>
              </w:rPr>
              <w:t>Introduction</w:t>
            </w:r>
            <w:r>
              <w:rPr>
                <w:noProof/>
              </w:rPr>
              <w:tab/>
            </w:r>
            <w:r>
              <w:rPr>
                <w:noProof/>
              </w:rPr>
              <w:fldChar w:fldCharType="begin"/>
            </w:r>
            <w:r>
              <w:rPr>
                <w:noProof/>
              </w:rPr>
              <w:instrText xml:space="preserve"> PAGEREF _Toc223038799 \h </w:instrText>
            </w:r>
            <w:r>
              <w:rPr>
                <w:noProof/>
              </w:rPr>
            </w:r>
            <w:r>
              <w:rPr>
                <w:noProof/>
              </w:rPr>
              <w:fldChar w:fldCharType="separate"/>
            </w:r>
            <w:r>
              <w:rPr>
                <w:noProof/>
              </w:rPr>
              <w:t>4</w:t>
            </w:r>
            <w:r>
              <w:rPr>
                <w:noProof/>
              </w:rPr>
              <w:fldChar w:fldCharType="end"/>
            </w:r>
          </w:hyperlink>
        </w:p>
        <w:p w14:paraId="054AC6E0" w14:textId="77777777" w:rsidR="00907974" w:rsidRDefault="00907974">
          <w:pPr>
            <w:pStyle w:val="TM1"/>
            <w:tabs>
              <w:tab w:val="right" w:leader="dot" w:pos="9016"/>
            </w:tabs>
            <w:rPr>
              <w:noProof/>
            </w:rPr>
          </w:pPr>
          <w:hyperlink w:anchor="_Toc223038800" w:history="1">
            <w:r w:rsidRPr="009667F7">
              <w:rPr>
                <w:rStyle w:val="Lienhypertexte"/>
                <w:noProof/>
              </w:rPr>
              <w:t>Partie 1 — Cadrage stratégique</w:t>
            </w:r>
            <w:r>
              <w:rPr>
                <w:noProof/>
              </w:rPr>
              <w:tab/>
            </w:r>
            <w:r>
              <w:rPr>
                <w:noProof/>
              </w:rPr>
              <w:fldChar w:fldCharType="begin"/>
            </w:r>
            <w:r>
              <w:rPr>
                <w:noProof/>
              </w:rPr>
              <w:instrText xml:space="preserve"> PAGEREF _Toc223038800 \h </w:instrText>
            </w:r>
            <w:r>
              <w:rPr>
                <w:noProof/>
              </w:rPr>
            </w:r>
            <w:r>
              <w:rPr>
                <w:noProof/>
              </w:rPr>
              <w:fldChar w:fldCharType="separate"/>
            </w:r>
            <w:r>
              <w:rPr>
                <w:noProof/>
              </w:rPr>
              <w:t>5</w:t>
            </w:r>
            <w:r>
              <w:rPr>
                <w:noProof/>
              </w:rPr>
              <w:fldChar w:fldCharType="end"/>
            </w:r>
          </w:hyperlink>
        </w:p>
        <w:p w14:paraId="20BC2DAF" w14:textId="77777777" w:rsidR="00907974" w:rsidRDefault="00907974">
          <w:pPr>
            <w:pStyle w:val="TM2"/>
            <w:tabs>
              <w:tab w:val="right" w:leader="dot" w:pos="9016"/>
            </w:tabs>
            <w:rPr>
              <w:noProof/>
            </w:rPr>
          </w:pPr>
          <w:hyperlink w:anchor="_Toc223038801" w:history="1">
            <w:r w:rsidRPr="009667F7">
              <w:rPr>
                <w:rStyle w:val="Lienhypertexte"/>
                <w:noProof/>
              </w:rPr>
              <w:t>1.1 Diagnostic d’opportunité</w:t>
            </w:r>
            <w:r>
              <w:rPr>
                <w:noProof/>
              </w:rPr>
              <w:tab/>
            </w:r>
            <w:r>
              <w:rPr>
                <w:noProof/>
              </w:rPr>
              <w:fldChar w:fldCharType="begin"/>
            </w:r>
            <w:r>
              <w:rPr>
                <w:noProof/>
              </w:rPr>
              <w:instrText xml:space="preserve"> PAGEREF _Toc223038801 \h </w:instrText>
            </w:r>
            <w:r>
              <w:rPr>
                <w:noProof/>
              </w:rPr>
            </w:r>
            <w:r>
              <w:rPr>
                <w:noProof/>
              </w:rPr>
              <w:fldChar w:fldCharType="separate"/>
            </w:r>
            <w:r>
              <w:rPr>
                <w:noProof/>
              </w:rPr>
              <w:t>5</w:t>
            </w:r>
            <w:r>
              <w:rPr>
                <w:noProof/>
              </w:rPr>
              <w:fldChar w:fldCharType="end"/>
            </w:r>
          </w:hyperlink>
        </w:p>
        <w:p w14:paraId="6E314FCA" w14:textId="77777777" w:rsidR="00907974" w:rsidRDefault="00907974">
          <w:pPr>
            <w:pStyle w:val="TM3"/>
            <w:tabs>
              <w:tab w:val="right" w:leader="dot" w:pos="9016"/>
            </w:tabs>
            <w:rPr>
              <w:noProof/>
            </w:rPr>
          </w:pPr>
          <w:hyperlink w:anchor="_Toc223038802" w:history="1">
            <w:r w:rsidRPr="009667F7">
              <w:rPr>
                <w:rStyle w:val="Lienhypertexte"/>
                <w:noProof/>
              </w:rPr>
              <w:t>Grille des douleurs organisationnelles</w:t>
            </w:r>
            <w:r>
              <w:rPr>
                <w:noProof/>
              </w:rPr>
              <w:tab/>
            </w:r>
            <w:r>
              <w:rPr>
                <w:noProof/>
              </w:rPr>
              <w:fldChar w:fldCharType="begin"/>
            </w:r>
            <w:r>
              <w:rPr>
                <w:noProof/>
              </w:rPr>
              <w:instrText xml:space="preserve"> PAGEREF _Toc223038802 \h </w:instrText>
            </w:r>
            <w:r>
              <w:rPr>
                <w:noProof/>
              </w:rPr>
            </w:r>
            <w:r>
              <w:rPr>
                <w:noProof/>
              </w:rPr>
              <w:fldChar w:fldCharType="separate"/>
            </w:r>
            <w:r>
              <w:rPr>
                <w:noProof/>
              </w:rPr>
              <w:t>5</w:t>
            </w:r>
            <w:r>
              <w:rPr>
                <w:noProof/>
              </w:rPr>
              <w:fldChar w:fldCharType="end"/>
            </w:r>
          </w:hyperlink>
        </w:p>
        <w:p w14:paraId="74CEE194" w14:textId="77777777" w:rsidR="00907974" w:rsidRDefault="00907974">
          <w:pPr>
            <w:pStyle w:val="TM2"/>
            <w:tabs>
              <w:tab w:val="right" w:leader="dot" w:pos="9016"/>
            </w:tabs>
            <w:rPr>
              <w:noProof/>
            </w:rPr>
          </w:pPr>
          <w:hyperlink w:anchor="_Toc223038803" w:history="1">
            <w:r w:rsidRPr="009667F7">
              <w:rPr>
                <w:rStyle w:val="Lienhypertexte"/>
                <w:noProof/>
              </w:rPr>
              <w:t>1.2 Matrice de priorisation</w:t>
            </w:r>
            <w:r>
              <w:rPr>
                <w:noProof/>
              </w:rPr>
              <w:tab/>
            </w:r>
            <w:r>
              <w:rPr>
                <w:noProof/>
              </w:rPr>
              <w:fldChar w:fldCharType="begin"/>
            </w:r>
            <w:r>
              <w:rPr>
                <w:noProof/>
              </w:rPr>
              <w:instrText xml:space="preserve"> PAGEREF _Toc223038803 \h </w:instrText>
            </w:r>
            <w:r>
              <w:rPr>
                <w:noProof/>
              </w:rPr>
            </w:r>
            <w:r>
              <w:rPr>
                <w:noProof/>
              </w:rPr>
              <w:fldChar w:fldCharType="separate"/>
            </w:r>
            <w:r>
              <w:rPr>
                <w:noProof/>
              </w:rPr>
              <w:t>6</w:t>
            </w:r>
            <w:r>
              <w:rPr>
                <w:noProof/>
              </w:rPr>
              <w:fldChar w:fldCharType="end"/>
            </w:r>
          </w:hyperlink>
        </w:p>
        <w:p w14:paraId="3FB0EBDE" w14:textId="77777777" w:rsidR="00907974" w:rsidRDefault="00907974">
          <w:pPr>
            <w:pStyle w:val="TM3"/>
            <w:tabs>
              <w:tab w:val="right" w:leader="dot" w:pos="9016"/>
            </w:tabs>
            <w:rPr>
              <w:noProof/>
            </w:rPr>
          </w:pPr>
          <w:hyperlink w:anchor="_Toc223038804" w:history="1">
            <w:r w:rsidRPr="009667F7">
              <w:rPr>
                <w:rStyle w:val="Lienhypertexte"/>
                <w:noProof/>
              </w:rPr>
              <w:t>Les trois axes d’évaluation</w:t>
            </w:r>
            <w:r>
              <w:rPr>
                <w:noProof/>
              </w:rPr>
              <w:tab/>
            </w:r>
            <w:r>
              <w:rPr>
                <w:noProof/>
              </w:rPr>
              <w:fldChar w:fldCharType="begin"/>
            </w:r>
            <w:r>
              <w:rPr>
                <w:noProof/>
              </w:rPr>
              <w:instrText xml:space="preserve"> PAGEREF _Toc223038804 \h </w:instrText>
            </w:r>
            <w:r>
              <w:rPr>
                <w:noProof/>
              </w:rPr>
            </w:r>
            <w:r>
              <w:rPr>
                <w:noProof/>
              </w:rPr>
              <w:fldChar w:fldCharType="separate"/>
            </w:r>
            <w:r>
              <w:rPr>
                <w:noProof/>
              </w:rPr>
              <w:t>6</w:t>
            </w:r>
            <w:r>
              <w:rPr>
                <w:noProof/>
              </w:rPr>
              <w:fldChar w:fldCharType="end"/>
            </w:r>
          </w:hyperlink>
        </w:p>
        <w:p w14:paraId="01557C4B" w14:textId="77777777" w:rsidR="00907974" w:rsidRDefault="00907974">
          <w:pPr>
            <w:pStyle w:val="TM3"/>
            <w:tabs>
              <w:tab w:val="right" w:leader="dot" w:pos="9016"/>
            </w:tabs>
            <w:rPr>
              <w:noProof/>
            </w:rPr>
          </w:pPr>
          <w:hyperlink w:anchor="_Toc223038805" w:history="1">
            <w:r w:rsidRPr="009667F7">
              <w:rPr>
                <w:rStyle w:val="Lienhypertexte"/>
                <w:noProof/>
              </w:rPr>
              <w:t>Classification en quatre quadrants</w:t>
            </w:r>
            <w:r>
              <w:rPr>
                <w:noProof/>
              </w:rPr>
              <w:tab/>
            </w:r>
            <w:r>
              <w:rPr>
                <w:noProof/>
              </w:rPr>
              <w:fldChar w:fldCharType="begin"/>
            </w:r>
            <w:r>
              <w:rPr>
                <w:noProof/>
              </w:rPr>
              <w:instrText xml:space="preserve"> PAGEREF _Toc223038805 \h </w:instrText>
            </w:r>
            <w:r>
              <w:rPr>
                <w:noProof/>
              </w:rPr>
            </w:r>
            <w:r>
              <w:rPr>
                <w:noProof/>
              </w:rPr>
              <w:fldChar w:fldCharType="separate"/>
            </w:r>
            <w:r>
              <w:rPr>
                <w:noProof/>
              </w:rPr>
              <w:t>6</w:t>
            </w:r>
            <w:r>
              <w:rPr>
                <w:noProof/>
              </w:rPr>
              <w:fldChar w:fldCharType="end"/>
            </w:r>
          </w:hyperlink>
        </w:p>
        <w:p w14:paraId="478DF827" w14:textId="77777777" w:rsidR="00907974" w:rsidRDefault="00907974">
          <w:pPr>
            <w:pStyle w:val="TM2"/>
            <w:tabs>
              <w:tab w:val="right" w:leader="dot" w:pos="9016"/>
            </w:tabs>
            <w:rPr>
              <w:noProof/>
            </w:rPr>
          </w:pPr>
          <w:hyperlink w:anchor="_Toc223038806" w:history="1">
            <w:r w:rsidRPr="009667F7">
              <w:rPr>
                <w:rStyle w:val="Lienhypertexte"/>
                <w:noProof/>
              </w:rPr>
              <w:t>1.3 Alignement avec la trajectoire de transformation</w:t>
            </w:r>
            <w:r>
              <w:rPr>
                <w:noProof/>
              </w:rPr>
              <w:tab/>
            </w:r>
            <w:r>
              <w:rPr>
                <w:noProof/>
              </w:rPr>
              <w:fldChar w:fldCharType="begin"/>
            </w:r>
            <w:r>
              <w:rPr>
                <w:noProof/>
              </w:rPr>
              <w:instrText xml:space="preserve"> PAGEREF _Toc223038806 \h </w:instrText>
            </w:r>
            <w:r>
              <w:rPr>
                <w:noProof/>
              </w:rPr>
            </w:r>
            <w:r>
              <w:rPr>
                <w:noProof/>
              </w:rPr>
              <w:fldChar w:fldCharType="separate"/>
            </w:r>
            <w:r>
              <w:rPr>
                <w:noProof/>
              </w:rPr>
              <w:t>7</w:t>
            </w:r>
            <w:r>
              <w:rPr>
                <w:noProof/>
              </w:rPr>
              <w:fldChar w:fldCharType="end"/>
            </w:r>
          </w:hyperlink>
        </w:p>
        <w:p w14:paraId="2C75BEC5" w14:textId="77777777" w:rsidR="00907974" w:rsidRDefault="00907974">
          <w:pPr>
            <w:pStyle w:val="TM3"/>
            <w:tabs>
              <w:tab w:val="right" w:leader="dot" w:pos="9016"/>
            </w:tabs>
            <w:rPr>
              <w:noProof/>
            </w:rPr>
          </w:pPr>
          <w:hyperlink w:anchor="_Toc223038807" w:history="1">
            <w:r w:rsidRPr="009667F7">
              <w:rPr>
                <w:rStyle w:val="Lienhypertexte"/>
                <w:noProof/>
              </w:rPr>
              <w:t>Horizon 1 — Gains rapides (0 à 3 mois)</w:t>
            </w:r>
            <w:r>
              <w:rPr>
                <w:noProof/>
              </w:rPr>
              <w:tab/>
            </w:r>
            <w:r>
              <w:rPr>
                <w:noProof/>
              </w:rPr>
              <w:fldChar w:fldCharType="begin"/>
            </w:r>
            <w:r>
              <w:rPr>
                <w:noProof/>
              </w:rPr>
              <w:instrText xml:space="preserve"> PAGEREF _Toc223038807 \h </w:instrText>
            </w:r>
            <w:r>
              <w:rPr>
                <w:noProof/>
              </w:rPr>
            </w:r>
            <w:r>
              <w:rPr>
                <w:noProof/>
              </w:rPr>
              <w:fldChar w:fldCharType="separate"/>
            </w:r>
            <w:r>
              <w:rPr>
                <w:noProof/>
              </w:rPr>
              <w:t>7</w:t>
            </w:r>
            <w:r>
              <w:rPr>
                <w:noProof/>
              </w:rPr>
              <w:fldChar w:fldCharType="end"/>
            </w:r>
          </w:hyperlink>
        </w:p>
        <w:p w14:paraId="3C245F43" w14:textId="77777777" w:rsidR="00907974" w:rsidRDefault="00907974">
          <w:pPr>
            <w:pStyle w:val="TM3"/>
            <w:tabs>
              <w:tab w:val="right" w:leader="dot" w:pos="9016"/>
            </w:tabs>
            <w:rPr>
              <w:noProof/>
            </w:rPr>
          </w:pPr>
          <w:hyperlink w:anchor="_Toc223038808" w:history="1">
            <w:r w:rsidRPr="009667F7">
              <w:rPr>
                <w:rStyle w:val="Lienhypertexte"/>
                <w:noProof/>
              </w:rPr>
              <w:t>Horizon 2 — OC structurants (3 à 12 mois)</w:t>
            </w:r>
            <w:r>
              <w:rPr>
                <w:noProof/>
              </w:rPr>
              <w:tab/>
            </w:r>
            <w:r>
              <w:rPr>
                <w:noProof/>
              </w:rPr>
              <w:fldChar w:fldCharType="begin"/>
            </w:r>
            <w:r>
              <w:rPr>
                <w:noProof/>
              </w:rPr>
              <w:instrText xml:space="preserve"> PAGEREF _Toc223038808 \h </w:instrText>
            </w:r>
            <w:r>
              <w:rPr>
                <w:noProof/>
              </w:rPr>
            </w:r>
            <w:r>
              <w:rPr>
                <w:noProof/>
              </w:rPr>
              <w:fldChar w:fldCharType="separate"/>
            </w:r>
            <w:r>
              <w:rPr>
                <w:noProof/>
              </w:rPr>
              <w:t>7</w:t>
            </w:r>
            <w:r>
              <w:rPr>
                <w:noProof/>
              </w:rPr>
              <w:fldChar w:fldCharType="end"/>
            </w:r>
          </w:hyperlink>
        </w:p>
        <w:p w14:paraId="5A67630E" w14:textId="77777777" w:rsidR="00907974" w:rsidRDefault="00907974">
          <w:pPr>
            <w:pStyle w:val="TM3"/>
            <w:tabs>
              <w:tab w:val="right" w:leader="dot" w:pos="9016"/>
            </w:tabs>
            <w:rPr>
              <w:noProof/>
            </w:rPr>
          </w:pPr>
          <w:hyperlink w:anchor="_Toc223038809" w:history="1">
            <w:r w:rsidRPr="009667F7">
              <w:rPr>
                <w:rStyle w:val="Lienhypertexte"/>
                <w:noProof/>
              </w:rPr>
              <w:t>Horizon 3 — Organisation composable (12 à 24 mois)</w:t>
            </w:r>
            <w:r>
              <w:rPr>
                <w:noProof/>
              </w:rPr>
              <w:tab/>
            </w:r>
            <w:r>
              <w:rPr>
                <w:noProof/>
              </w:rPr>
              <w:fldChar w:fldCharType="begin"/>
            </w:r>
            <w:r>
              <w:rPr>
                <w:noProof/>
              </w:rPr>
              <w:instrText xml:space="preserve"> PAGEREF _Toc223038809 \h </w:instrText>
            </w:r>
            <w:r>
              <w:rPr>
                <w:noProof/>
              </w:rPr>
            </w:r>
            <w:r>
              <w:rPr>
                <w:noProof/>
              </w:rPr>
              <w:fldChar w:fldCharType="separate"/>
            </w:r>
            <w:r>
              <w:rPr>
                <w:noProof/>
              </w:rPr>
              <w:t>7</w:t>
            </w:r>
            <w:r>
              <w:rPr>
                <w:noProof/>
              </w:rPr>
              <w:fldChar w:fldCharType="end"/>
            </w:r>
          </w:hyperlink>
        </w:p>
        <w:p w14:paraId="4B50087F" w14:textId="77777777" w:rsidR="00907974" w:rsidRDefault="00907974">
          <w:pPr>
            <w:pStyle w:val="TM1"/>
            <w:tabs>
              <w:tab w:val="right" w:leader="dot" w:pos="9016"/>
            </w:tabs>
            <w:rPr>
              <w:noProof/>
            </w:rPr>
          </w:pPr>
          <w:hyperlink w:anchor="_Toc223038810" w:history="1">
            <w:r w:rsidRPr="009667F7">
              <w:rPr>
                <w:rStyle w:val="Lienhypertexte"/>
                <w:noProof/>
              </w:rPr>
              <w:t>Partie 2 — Conception d’un Objet Cognitif</w:t>
            </w:r>
            <w:r>
              <w:rPr>
                <w:noProof/>
              </w:rPr>
              <w:tab/>
            </w:r>
            <w:r>
              <w:rPr>
                <w:noProof/>
              </w:rPr>
              <w:fldChar w:fldCharType="begin"/>
            </w:r>
            <w:r>
              <w:rPr>
                <w:noProof/>
              </w:rPr>
              <w:instrText xml:space="preserve"> PAGEREF _Toc223038810 \h </w:instrText>
            </w:r>
            <w:r>
              <w:rPr>
                <w:noProof/>
              </w:rPr>
            </w:r>
            <w:r>
              <w:rPr>
                <w:noProof/>
              </w:rPr>
              <w:fldChar w:fldCharType="separate"/>
            </w:r>
            <w:r>
              <w:rPr>
                <w:noProof/>
              </w:rPr>
              <w:t>8</w:t>
            </w:r>
            <w:r>
              <w:rPr>
                <w:noProof/>
              </w:rPr>
              <w:fldChar w:fldCharType="end"/>
            </w:r>
          </w:hyperlink>
        </w:p>
        <w:p w14:paraId="5862C601" w14:textId="77777777" w:rsidR="00907974" w:rsidRDefault="00907974">
          <w:pPr>
            <w:pStyle w:val="TM2"/>
            <w:tabs>
              <w:tab w:val="right" w:leader="dot" w:pos="9016"/>
            </w:tabs>
            <w:rPr>
              <w:noProof/>
            </w:rPr>
          </w:pPr>
          <w:hyperlink w:anchor="_Toc223038811" w:history="1">
            <w:r w:rsidRPr="009667F7">
              <w:rPr>
                <w:rStyle w:val="Lienhypertexte"/>
                <w:noProof/>
              </w:rPr>
              <w:t>2.1 Protocole d’élicitation adapté au terrain</w:t>
            </w:r>
            <w:r>
              <w:rPr>
                <w:noProof/>
              </w:rPr>
              <w:tab/>
            </w:r>
            <w:r>
              <w:rPr>
                <w:noProof/>
              </w:rPr>
              <w:fldChar w:fldCharType="begin"/>
            </w:r>
            <w:r>
              <w:rPr>
                <w:noProof/>
              </w:rPr>
              <w:instrText xml:space="preserve"> PAGEREF _Toc223038811 \h </w:instrText>
            </w:r>
            <w:r>
              <w:rPr>
                <w:noProof/>
              </w:rPr>
            </w:r>
            <w:r>
              <w:rPr>
                <w:noProof/>
              </w:rPr>
              <w:fldChar w:fldCharType="separate"/>
            </w:r>
            <w:r>
              <w:rPr>
                <w:noProof/>
              </w:rPr>
              <w:t>8</w:t>
            </w:r>
            <w:r>
              <w:rPr>
                <w:noProof/>
              </w:rPr>
              <w:fldChar w:fldCharType="end"/>
            </w:r>
          </w:hyperlink>
        </w:p>
        <w:p w14:paraId="6052F458" w14:textId="77777777" w:rsidR="00907974" w:rsidRDefault="00907974">
          <w:pPr>
            <w:pStyle w:val="TM3"/>
            <w:tabs>
              <w:tab w:val="right" w:leader="dot" w:pos="9016"/>
            </w:tabs>
            <w:rPr>
              <w:noProof/>
            </w:rPr>
          </w:pPr>
          <w:hyperlink w:anchor="_Toc223038812" w:history="1">
            <w:r w:rsidRPr="009667F7">
              <w:rPr>
                <w:rStyle w:val="Lienhypertexte"/>
                <w:noProof/>
              </w:rPr>
              <w:t>Identifier et mobiliser le bon expert</w:t>
            </w:r>
            <w:r>
              <w:rPr>
                <w:noProof/>
              </w:rPr>
              <w:tab/>
            </w:r>
            <w:r>
              <w:rPr>
                <w:noProof/>
              </w:rPr>
              <w:fldChar w:fldCharType="begin"/>
            </w:r>
            <w:r>
              <w:rPr>
                <w:noProof/>
              </w:rPr>
              <w:instrText xml:space="preserve"> PAGEREF _Toc223038812 \h </w:instrText>
            </w:r>
            <w:r>
              <w:rPr>
                <w:noProof/>
              </w:rPr>
            </w:r>
            <w:r>
              <w:rPr>
                <w:noProof/>
              </w:rPr>
              <w:fldChar w:fldCharType="separate"/>
            </w:r>
            <w:r>
              <w:rPr>
                <w:noProof/>
              </w:rPr>
              <w:t>8</w:t>
            </w:r>
            <w:r>
              <w:rPr>
                <w:noProof/>
              </w:rPr>
              <w:fldChar w:fldCharType="end"/>
            </w:r>
          </w:hyperlink>
        </w:p>
        <w:p w14:paraId="6974C7F5" w14:textId="77777777" w:rsidR="00907974" w:rsidRDefault="00907974">
          <w:pPr>
            <w:pStyle w:val="TM3"/>
            <w:tabs>
              <w:tab w:val="right" w:leader="dot" w:pos="9016"/>
            </w:tabs>
            <w:rPr>
              <w:noProof/>
            </w:rPr>
          </w:pPr>
          <w:hyperlink w:anchor="_Toc223038813" w:history="1">
            <w:r w:rsidRPr="009667F7">
              <w:rPr>
                <w:rStyle w:val="Lienhypertexte"/>
                <w:noProof/>
              </w:rPr>
              <w:t>Mener l’entretien d’élicitation</w:t>
            </w:r>
            <w:r>
              <w:rPr>
                <w:noProof/>
              </w:rPr>
              <w:tab/>
            </w:r>
            <w:r>
              <w:rPr>
                <w:noProof/>
              </w:rPr>
              <w:fldChar w:fldCharType="begin"/>
            </w:r>
            <w:r>
              <w:rPr>
                <w:noProof/>
              </w:rPr>
              <w:instrText xml:space="preserve"> PAGEREF _Toc223038813 \h </w:instrText>
            </w:r>
            <w:r>
              <w:rPr>
                <w:noProof/>
              </w:rPr>
            </w:r>
            <w:r>
              <w:rPr>
                <w:noProof/>
              </w:rPr>
              <w:fldChar w:fldCharType="separate"/>
            </w:r>
            <w:r>
              <w:rPr>
                <w:noProof/>
              </w:rPr>
              <w:t>8</w:t>
            </w:r>
            <w:r>
              <w:rPr>
                <w:noProof/>
              </w:rPr>
              <w:fldChar w:fldCharType="end"/>
            </w:r>
          </w:hyperlink>
        </w:p>
        <w:p w14:paraId="4027E2BD" w14:textId="77777777" w:rsidR="00907974" w:rsidRDefault="00907974">
          <w:pPr>
            <w:pStyle w:val="TM3"/>
            <w:tabs>
              <w:tab w:val="right" w:leader="dot" w:pos="9016"/>
            </w:tabs>
            <w:rPr>
              <w:noProof/>
            </w:rPr>
          </w:pPr>
          <w:hyperlink w:anchor="_Toc223038814" w:history="1">
            <w:r w:rsidRPr="009667F7">
              <w:rPr>
                <w:rStyle w:val="Lienhypertexte"/>
                <w:noProof/>
              </w:rPr>
              <w:t>Traiter le savoir tacite</w:t>
            </w:r>
            <w:r>
              <w:rPr>
                <w:noProof/>
              </w:rPr>
              <w:tab/>
            </w:r>
            <w:r>
              <w:rPr>
                <w:noProof/>
              </w:rPr>
              <w:fldChar w:fldCharType="begin"/>
            </w:r>
            <w:r>
              <w:rPr>
                <w:noProof/>
              </w:rPr>
              <w:instrText xml:space="preserve"> PAGEREF _Toc223038814 \h </w:instrText>
            </w:r>
            <w:r>
              <w:rPr>
                <w:noProof/>
              </w:rPr>
            </w:r>
            <w:r>
              <w:rPr>
                <w:noProof/>
              </w:rPr>
              <w:fldChar w:fldCharType="separate"/>
            </w:r>
            <w:r>
              <w:rPr>
                <w:noProof/>
              </w:rPr>
              <w:t>8</w:t>
            </w:r>
            <w:r>
              <w:rPr>
                <w:noProof/>
              </w:rPr>
              <w:fldChar w:fldCharType="end"/>
            </w:r>
          </w:hyperlink>
        </w:p>
        <w:p w14:paraId="5532333E" w14:textId="77777777" w:rsidR="00907974" w:rsidRDefault="00907974">
          <w:pPr>
            <w:pStyle w:val="TM3"/>
            <w:tabs>
              <w:tab w:val="right" w:leader="dot" w:pos="9016"/>
            </w:tabs>
            <w:rPr>
              <w:noProof/>
            </w:rPr>
          </w:pPr>
          <w:hyperlink w:anchor="_Toc223038815" w:history="1">
            <w:r w:rsidRPr="009667F7">
              <w:rPr>
                <w:rStyle w:val="Lienhypertexte"/>
                <w:noProof/>
              </w:rPr>
              <w:t>Capter les tensions éthiques</w:t>
            </w:r>
            <w:r>
              <w:rPr>
                <w:noProof/>
              </w:rPr>
              <w:tab/>
            </w:r>
            <w:r>
              <w:rPr>
                <w:noProof/>
              </w:rPr>
              <w:fldChar w:fldCharType="begin"/>
            </w:r>
            <w:r>
              <w:rPr>
                <w:noProof/>
              </w:rPr>
              <w:instrText xml:space="preserve"> PAGEREF _Toc223038815 \h </w:instrText>
            </w:r>
            <w:r>
              <w:rPr>
                <w:noProof/>
              </w:rPr>
            </w:r>
            <w:r>
              <w:rPr>
                <w:noProof/>
              </w:rPr>
              <w:fldChar w:fldCharType="separate"/>
            </w:r>
            <w:r>
              <w:rPr>
                <w:noProof/>
              </w:rPr>
              <w:t>9</w:t>
            </w:r>
            <w:r>
              <w:rPr>
                <w:noProof/>
              </w:rPr>
              <w:fldChar w:fldCharType="end"/>
            </w:r>
          </w:hyperlink>
        </w:p>
        <w:p w14:paraId="01E4AF6A" w14:textId="77777777" w:rsidR="00907974" w:rsidRDefault="00907974">
          <w:pPr>
            <w:pStyle w:val="TM3"/>
            <w:tabs>
              <w:tab w:val="right" w:leader="dot" w:pos="9016"/>
            </w:tabs>
            <w:rPr>
              <w:noProof/>
            </w:rPr>
          </w:pPr>
          <w:hyperlink w:anchor="_Toc223038816" w:history="1">
            <w:r w:rsidRPr="009667F7">
              <w:rPr>
                <w:rStyle w:val="Lienhypertexte"/>
                <w:noProof/>
              </w:rPr>
              <w:t>Output attendu : la carte brute du raisonnement</w:t>
            </w:r>
            <w:r>
              <w:rPr>
                <w:noProof/>
              </w:rPr>
              <w:tab/>
            </w:r>
            <w:r>
              <w:rPr>
                <w:noProof/>
              </w:rPr>
              <w:fldChar w:fldCharType="begin"/>
            </w:r>
            <w:r>
              <w:rPr>
                <w:noProof/>
              </w:rPr>
              <w:instrText xml:space="preserve"> PAGEREF _Toc223038816 \h </w:instrText>
            </w:r>
            <w:r>
              <w:rPr>
                <w:noProof/>
              </w:rPr>
            </w:r>
            <w:r>
              <w:rPr>
                <w:noProof/>
              </w:rPr>
              <w:fldChar w:fldCharType="separate"/>
            </w:r>
            <w:r>
              <w:rPr>
                <w:noProof/>
              </w:rPr>
              <w:t>9</w:t>
            </w:r>
            <w:r>
              <w:rPr>
                <w:noProof/>
              </w:rPr>
              <w:fldChar w:fldCharType="end"/>
            </w:r>
          </w:hyperlink>
        </w:p>
        <w:p w14:paraId="3D2A1979" w14:textId="77777777" w:rsidR="00907974" w:rsidRDefault="00907974">
          <w:pPr>
            <w:pStyle w:val="TM2"/>
            <w:tabs>
              <w:tab w:val="right" w:leader="dot" w:pos="9016"/>
            </w:tabs>
            <w:rPr>
              <w:noProof/>
            </w:rPr>
          </w:pPr>
          <w:hyperlink w:anchor="_Toc223038817" w:history="1">
            <w:r w:rsidRPr="009667F7">
              <w:rPr>
                <w:rStyle w:val="Lienhypertexte"/>
                <w:noProof/>
              </w:rPr>
              <w:t>2.2 Construction des 7 couches en contexte organisationnel</w:t>
            </w:r>
            <w:r>
              <w:rPr>
                <w:noProof/>
              </w:rPr>
              <w:tab/>
            </w:r>
            <w:r>
              <w:rPr>
                <w:noProof/>
              </w:rPr>
              <w:fldChar w:fldCharType="begin"/>
            </w:r>
            <w:r>
              <w:rPr>
                <w:noProof/>
              </w:rPr>
              <w:instrText xml:space="preserve"> PAGEREF _Toc223038817 \h </w:instrText>
            </w:r>
            <w:r>
              <w:rPr>
                <w:noProof/>
              </w:rPr>
            </w:r>
            <w:r>
              <w:rPr>
                <w:noProof/>
              </w:rPr>
              <w:fldChar w:fldCharType="separate"/>
            </w:r>
            <w:r>
              <w:rPr>
                <w:noProof/>
              </w:rPr>
              <w:t>10</w:t>
            </w:r>
            <w:r>
              <w:rPr>
                <w:noProof/>
              </w:rPr>
              <w:fldChar w:fldCharType="end"/>
            </w:r>
          </w:hyperlink>
        </w:p>
        <w:p w14:paraId="132017FF" w14:textId="77777777" w:rsidR="00907974" w:rsidRDefault="00907974">
          <w:pPr>
            <w:pStyle w:val="TM3"/>
            <w:tabs>
              <w:tab w:val="right" w:leader="dot" w:pos="9016"/>
            </w:tabs>
            <w:rPr>
              <w:noProof/>
            </w:rPr>
          </w:pPr>
          <w:hyperlink w:anchor="_Toc223038818" w:history="1">
            <w:r w:rsidRPr="009667F7">
              <w:rPr>
                <w:rStyle w:val="Lienhypertexte"/>
                <w:noProof/>
              </w:rPr>
              <w:t>Couche 1 — Identité et cadrage</w:t>
            </w:r>
            <w:r>
              <w:rPr>
                <w:noProof/>
              </w:rPr>
              <w:tab/>
            </w:r>
            <w:r>
              <w:rPr>
                <w:noProof/>
              </w:rPr>
              <w:fldChar w:fldCharType="begin"/>
            </w:r>
            <w:r>
              <w:rPr>
                <w:noProof/>
              </w:rPr>
              <w:instrText xml:space="preserve"> PAGEREF _Toc223038818 \h </w:instrText>
            </w:r>
            <w:r>
              <w:rPr>
                <w:noProof/>
              </w:rPr>
            </w:r>
            <w:r>
              <w:rPr>
                <w:noProof/>
              </w:rPr>
              <w:fldChar w:fldCharType="separate"/>
            </w:r>
            <w:r>
              <w:rPr>
                <w:noProof/>
              </w:rPr>
              <w:t>10</w:t>
            </w:r>
            <w:r>
              <w:rPr>
                <w:noProof/>
              </w:rPr>
              <w:fldChar w:fldCharType="end"/>
            </w:r>
          </w:hyperlink>
        </w:p>
        <w:p w14:paraId="51453E5E" w14:textId="77777777" w:rsidR="00907974" w:rsidRDefault="00907974">
          <w:pPr>
            <w:pStyle w:val="TM3"/>
            <w:tabs>
              <w:tab w:val="right" w:leader="dot" w:pos="9016"/>
            </w:tabs>
            <w:rPr>
              <w:noProof/>
            </w:rPr>
          </w:pPr>
          <w:hyperlink w:anchor="_Toc223038819" w:history="1">
            <w:r w:rsidRPr="009667F7">
              <w:rPr>
                <w:rStyle w:val="Lienhypertexte"/>
                <w:noProof/>
              </w:rPr>
              <w:t>Couche 2 — Entrées et contexte</w:t>
            </w:r>
            <w:r>
              <w:rPr>
                <w:noProof/>
              </w:rPr>
              <w:tab/>
            </w:r>
            <w:r>
              <w:rPr>
                <w:noProof/>
              </w:rPr>
              <w:fldChar w:fldCharType="begin"/>
            </w:r>
            <w:r>
              <w:rPr>
                <w:noProof/>
              </w:rPr>
              <w:instrText xml:space="preserve"> PAGEREF _Toc223038819 \h </w:instrText>
            </w:r>
            <w:r>
              <w:rPr>
                <w:noProof/>
              </w:rPr>
            </w:r>
            <w:r>
              <w:rPr>
                <w:noProof/>
              </w:rPr>
              <w:fldChar w:fldCharType="separate"/>
            </w:r>
            <w:r>
              <w:rPr>
                <w:noProof/>
              </w:rPr>
              <w:t>10</w:t>
            </w:r>
            <w:r>
              <w:rPr>
                <w:noProof/>
              </w:rPr>
              <w:fldChar w:fldCharType="end"/>
            </w:r>
          </w:hyperlink>
        </w:p>
        <w:p w14:paraId="687686D8" w14:textId="77777777" w:rsidR="00907974" w:rsidRDefault="00907974">
          <w:pPr>
            <w:pStyle w:val="TM3"/>
            <w:tabs>
              <w:tab w:val="right" w:leader="dot" w:pos="9016"/>
            </w:tabs>
            <w:rPr>
              <w:noProof/>
            </w:rPr>
          </w:pPr>
          <w:hyperlink w:anchor="_Toc223038820" w:history="1">
            <w:r w:rsidRPr="009667F7">
              <w:rPr>
                <w:rStyle w:val="Lienhypertexte"/>
                <w:noProof/>
              </w:rPr>
              <w:t>Couche 3 — Raisonnement (couche critique)</w:t>
            </w:r>
            <w:r>
              <w:rPr>
                <w:noProof/>
              </w:rPr>
              <w:tab/>
            </w:r>
            <w:r>
              <w:rPr>
                <w:noProof/>
              </w:rPr>
              <w:fldChar w:fldCharType="begin"/>
            </w:r>
            <w:r>
              <w:rPr>
                <w:noProof/>
              </w:rPr>
              <w:instrText xml:space="preserve"> PAGEREF _Toc223038820 \h </w:instrText>
            </w:r>
            <w:r>
              <w:rPr>
                <w:noProof/>
              </w:rPr>
            </w:r>
            <w:r>
              <w:rPr>
                <w:noProof/>
              </w:rPr>
              <w:fldChar w:fldCharType="separate"/>
            </w:r>
            <w:r>
              <w:rPr>
                <w:noProof/>
              </w:rPr>
              <w:t>10</w:t>
            </w:r>
            <w:r>
              <w:rPr>
                <w:noProof/>
              </w:rPr>
              <w:fldChar w:fldCharType="end"/>
            </w:r>
          </w:hyperlink>
        </w:p>
        <w:p w14:paraId="261FFF7C" w14:textId="77777777" w:rsidR="00907974" w:rsidRDefault="00907974">
          <w:pPr>
            <w:pStyle w:val="TM3"/>
            <w:tabs>
              <w:tab w:val="right" w:leader="dot" w:pos="9016"/>
            </w:tabs>
            <w:rPr>
              <w:noProof/>
            </w:rPr>
          </w:pPr>
          <w:hyperlink w:anchor="_Toc223038821" w:history="1">
            <w:r w:rsidRPr="009667F7">
              <w:rPr>
                <w:rStyle w:val="Lienhypertexte"/>
                <w:noProof/>
              </w:rPr>
              <w:t>Couche 4 — Garde-fous éthiques et de sécurité</w:t>
            </w:r>
            <w:r>
              <w:rPr>
                <w:noProof/>
              </w:rPr>
              <w:tab/>
            </w:r>
            <w:r>
              <w:rPr>
                <w:noProof/>
              </w:rPr>
              <w:fldChar w:fldCharType="begin"/>
            </w:r>
            <w:r>
              <w:rPr>
                <w:noProof/>
              </w:rPr>
              <w:instrText xml:space="preserve"> PAGEREF _Toc223038821 \h </w:instrText>
            </w:r>
            <w:r>
              <w:rPr>
                <w:noProof/>
              </w:rPr>
            </w:r>
            <w:r>
              <w:rPr>
                <w:noProof/>
              </w:rPr>
              <w:fldChar w:fldCharType="separate"/>
            </w:r>
            <w:r>
              <w:rPr>
                <w:noProof/>
              </w:rPr>
              <w:t>11</w:t>
            </w:r>
            <w:r>
              <w:rPr>
                <w:noProof/>
              </w:rPr>
              <w:fldChar w:fldCharType="end"/>
            </w:r>
          </w:hyperlink>
        </w:p>
        <w:p w14:paraId="34990AEB" w14:textId="77777777" w:rsidR="00907974" w:rsidRDefault="00907974">
          <w:pPr>
            <w:pStyle w:val="TM3"/>
            <w:tabs>
              <w:tab w:val="right" w:leader="dot" w:pos="9016"/>
            </w:tabs>
            <w:rPr>
              <w:noProof/>
            </w:rPr>
          </w:pPr>
          <w:hyperlink w:anchor="_Toc223038822" w:history="1">
            <w:r w:rsidRPr="009667F7">
              <w:rPr>
                <w:rStyle w:val="Lienhypertexte"/>
                <w:noProof/>
              </w:rPr>
              <w:t>Couche 5 — Format de sortie</w:t>
            </w:r>
            <w:r>
              <w:rPr>
                <w:noProof/>
              </w:rPr>
              <w:tab/>
            </w:r>
            <w:r>
              <w:rPr>
                <w:noProof/>
              </w:rPr>
              <w:fldChar w:fldCharType="begin"/>
            </w:r>
            <w:r>
              <w:rPr>
                <w:noProof/>
              </w:rPr>
              <w:instrText xml:space="preserve"> PAGEREF _Toc223038822 \h </w:instrText>
            </w:r>
            <w:r>
              <w:rPr>
                <w:noProof/>
              </w:rPr>
            </w:r>
            <w:r>
              <w:rPr>
                <w:noProof/>
              </w:rPr>
              <w:fldChar w:fldCharType="separate"/>
            </w:r>
            <w:r>
              <w:rPr>
                <w:noProof/>
              </w:rPr>
              <w:t>11</w:t>
            </w:r>
            <w:r>
              <w:rPr>
                <w:noProof/>
              </w:rPr>
              <w:fldChar w:fldCharType="end"/>
            </w:r>
          </w:hyperlink>
        </w:p>
        <w:p w14:paraId="6E44AF29" w14:textId="77777777" w:rsidR="00907974" w:rsidRDefault="00907974">
          <w:pPr>
            <w:pStyle w:val="TM3"/>
            <w:tabs>
              <w:tab w:val="right" w:leader="dot" w:pos="9016"/>
            </w:tabs>
            <w:rPr>
              <w:noProof/>
            </w:rPr>
          </w:pPr>
          <w:hyperlink w:anchor="_Toc223038823" w:history="1">
            <w:r w:rsidRPr="009667F7">
              <w:rPr>
                <w:rStyle w:val="Lienhypertexte"/>
                <w:noProof/>
              </w:rPr>
              <w:t>Couche 6 — Composition et intégration</w:t>
            </w:r>
            <w:r>
              <w:rPr>
                <w:noProof/>
              </w:rPr>
              <w:tab/>
            </w:r>
            <w:r>
              <w:rPr>
                <w:noProof/>
              </w:rPr>
              <w:fldChar w:fldCharType="begin"/>
            </w:r>
            <w:r>
              <w:rPr>
                <w:noProof/>
              </w:rPr>
              <w:instrText xml:space="preserve"> PAGEREF _Toc223038823 \h </w:instrText>
            </w:r>
            <w:r>
              <w:rPr>
                <w:noProof/>
              </w:rPr>
            </w:r>
            <w:r>
              <w:rPr>
                <w:noProof/>
              </w:rPr>
              <w:fldChar w:fldCharType="separate"/>
            </w:r>
            <w:r>
              <w:rPr>
                <w:noProof/>
              </w:rPr>
              <w:t>11</w:t>
            </w:r>
            <w:r>
              <w:rPr>
                <w:noProof/>
              </w:rPr>
              <w:fldChar w:fldCharType="end"/>
            </w:r>
          </w:hyperlink>
        </w:p>
        <w:p w14:paraId="5C00B745" w14:textId="77777777" w:rsidR="00907974" w:rsidRDefault="00907974">
          <w:pPr>
            <w:pStyle w:val="TM3"/>
            <w:tabs>
              <w:tab w:val="right" w:leader="dot" w:pos="9016"/>
            </w:tabs>
            <w:rPr>
              <w:noProof/>
            </w:rPr>
          </w:pPr>
          <w:hyperlink w:anchor="_Toc223038824" w:history="1">
            <w:r w:rsidRPr="009667F7">
              <w:rPr>
                <w:rStyle w:val="Lienhypertexte"/>
                <w:noProof/>
              </w:rPr>
              <w:t>Couche 7 — Métadonnées et cycle de vie</w:t>
            </w:r>
            <w:r>
              <w:rPr>
                <w:noProof/>
              </w:rPr>
              <w:tab/>
            </w:r>
            <w:r>
              <w:rPr>
                <w:noProof/>
              </w:rPr>
              <w:fldChar w:fldCharType="begin"/>
            </w:r>
            <w:r>
              <w:rPr>
                <w:noProof/>
              </w:rPr>
              <w:instrText xml:space="preserve"> PAGEREF _Toc223038824 \h </w:instrText>
            </w:r>
            <w:r>
              <w:rPr>
                <w:noProof/>
              </w:rPr>
            </w:r>
            <w:r>
              <w:rPr>
                <w:noProof/>
              </w:rPr>
              <w:fldChar w:fldCharType="separate"/>
            </w:r>
            <w:r>
              <w:rPr>
                <w:noProof/>
              </w:rPr>
              <w:t>12</w:t>
            </w:r>
            <w:r>
              <w:rPr>
                <w:noProof/>
              </w:rPr>
              <w:fldChar w:fldCharType="end"/>
            </w:r>
          </w:hyperlink>
        </w:p>
        <w:p w14:paraId="2283CA2E" w14:textId="77777777" w:rsidR="00907974" w:rsidRDefault="00907974">
          <w:pPr>
            <w:pStyle w:val="TM2"/>
            <w:tabs>
              <w:tab w:val="right" w:leader="dot" w:pos="9016"/>
            </w:tabs>
            <w:rPr>
              <w:noProof/>
            </w:rPr>
          </w:pPr>
          <w:hyperlink w:anchor="_Toc223038825" w:history="1">
            <w:r w:rsidRPr="009667F7">
              <w:rPr>
                <w:rStyle w:val="Lienhypertexte"/>
                <w:noProof/>
              </w:rPr>
              <w:t>2.3 Calibration et validation</w:t>
            </w:r>
            <w:r>
              <w:rPr>
                <w:noProof/>
              </w:rPr>
              <w:tab/>
            </w:r>
            <w:r>
              <w:rPr>
                <w:noProof/>
              </w:rPr>
              <w:fldChar w:fldCharType="begin"/>
            </w:r>
            <w:r>
              <w:rPr>
                <w:noProof/>
              </w:rPr>
              <w:instrText xml:space="preserve"> PAGEREF _Toc223038825 \h </w:instrText>
            </w:r>
            <w:r>
              <w:rPr>
                <w:noProof/>
              </w:rPr>
            </w:r>
            <w:r>
              <w:rPr>
                <w:noProof/>
              </w:rPr>
              <w:fldChar w:fldCharType="separate"/>
            </w:r>
            <w:r>
              <w:rPr>
                <w:noProof/>
              </w:rPr>
              <w:t>12</w:t>
            </w:r>
            <w:r>
              <w:rPr>
                <w:noProof/>
              </w:rPr>
              <w:fldChar w:fldCharType="end"/>
            </w:r>
          </w:hyperlink>
        </w:p>
        <w:p w14:paraId="34F000B5" w14:textId="77777777" w:rsidR="00907974" w:rsidRDefault="00907974">
          <w:pPr>
            <w:pStyle w:val="TM3"/>
            <w:tabs>
              <w:tab w:val="right" w:leader="dot" w:pos="9016"/>
            </w:tabs>
            <w:rPr>
              <w:noProof/>
            </w:rPr>
          </w:pPr>
          <w:hyperlink w:anchor="_Toc223038826" w:history="1">
            <w:r w:rsidRPr="009667F7">
              <w:rPr>
                <w:rStyle w:val="Lienhypertexte"/>
                <w:noProof/>
              </w:rPr>
              <w:t>Constituer la batterie de cas de test</w:t>
            </w:r>
            <w:r>
              <w:rPr>
                <w:noProof/>
              </w:rPr>
              <w:tab/>
            </w:r>
            <w:r>
              <w:rPr>
                <w:noProof/>
              </w:rPr>
              <w:fldChar w:fldCharType="begin"/>
            </w:r>
            <w:r>
              <w:rPr>
                <w:noProof/>
              </w:rPr>
              <w:instrText xml:space="preserve"> PAGEREF _Toc223038826 \h </w:instrText>
            </w:r>
            <w:r>
              <w:rPr>
                <w:noProof/>
              </w:rPr>
            </w:r>
            <w:r>
              <w:rPr>
                <w:noProof/>
              </w:rPr>
              <w:fldChar w:fldCharType="separate"/>
            </w:r>
            <w:r>
              <w:rPr>
                <w:noProof/>
              </w:rPr>
              <w:t>12</w:t>
            </w:r>
            <w:r>
              <w:rPr>
                <w:noProof/>
              </w:rPr>
              <w:fldChar w:fldCharType="end"/>
            </w:r>
          </w:hyperlink>
        </w:p>
        <w:p w14:paraId="7657E9DB" w14:textId="77777777" w:rsidR="00907974" w:rsidRDefault="00907974">
          <w:pPr>
            <w:pStyle w:val="TM3"/>
            <w:tabs>
              <w:tab w:val="right" w:leader="dot" w:pos="9016"/>
            </w:tabs>
            <w:rPr>
              <w:noProof/>
            </w:rPr>
          </w:pPr>
          <w:hyperlink w:anchor="_Toc223038827" w:history="1">
            <w:r w:rsidRPr="009667F7">
              <w:rPr>
                <w:rStyle w:val="Lienhypertexte"/>
                <w:noProof/>
              </w:rPr>
              <w:t>Mesurer la fiabilité</w:t>
            </w:r>
            <w:r>
              <w:rPr>
                <w:noProof/>
              </w:rPr>
              <w:tab/>
            </w:r>
            <w:r>
              <w:rPr>
                <w:noProof/>
              </w:rPr>
              <w:fldChar w:fldCharType="begin"/>
            </w:r>
            <w:r>
              <w:rPr>
                <w:noProof/>
              </w:rPr>
              <w:instrText xml:space="preserve"> PAGEREF _Toc223038827 \h </w:instrText>
            </w:r>
            <w:r>
              <w:rPr>
                <w:noProof/>
              </w:rPr>
            </w:r>
            <w:r>
              <w:rPr>
                <w:noProof/>
              </w:rPr>
              <w:fldChar w:fldCharType="separate"/>
            </w:r>
            <w:r>
              <w:rPr>
                <w:noProof/>
              </w:rPr>
              <w:t>12</w:t>
            </w:r>
            <w:r>
              <w:rPr>
                <w:noProof/>
              </w:rPr>
              <w:fldChar w:fldCharType="end"/>
            </w:r>
          </w:hyperlink>
        </w:p>
        <w:p w14:paraId="25B3690D" w14:textId="77777777" w:rsidR="00907974" w:rsidRDefault="00907974">
          <w:pPr>
            <w:pStyle w:val="TM3"/>
            <w:tabs>
              <w:tab w:val="right" w:leader="dot" w:pos="9016"/>
            </w:tabs>
            <w:rPr>
              <w:noProof/>
            </w:rPr>
          </w:pPr>
          <w:hyperlink w:anchor="_Toc223038828" w:history="1">
            <w:r w:rsidRPr="009667F7">
              <w:rPr>
                <w:rStyle w:val="Lienhypertexte"/>
                <w:noProof/>
              </w:rPr>
              <w:t>Critères de passage en exploitation</w:t>
            </w:r>
            <w:r>
              <w:rPr>
                <w:noProof/>
              </w:rPr>
              <w:tab/>
            </w:r>
            <w:r>
              <w:rPr>
                <w:noProof/>
              </w:rPr>
              <w:fldChar w:fldCharType="begin"/>
            </w:r>
            <w:r>
              <w:rPr>
                <w:noProof/>
              </w:rPr>
              <w:instrText xml:space="preserve"> PAGEREF _Toc223038828 \h </w:instrText>
            </w:r>
            <w:r>
              <w:rPr>
                <w:noProof/>
              </w:rPr>
            </w:r>
            <w:r>
              <w:rPr>
                <w:noProof/>
              </w:rPr>
              <w:fldChar w:fldCharType="separate"/>
            </w:r>
            <w:r>
              <w:rPr>
                <w:noProof/>
              </w:rPr>
              <w:t>13</w:t>
            </w:r>
            <w:r>
              <w:rPr>
                <w:noProof/>
              </w:rPr>
              <w:fldChar w:fldCharType="end"/>
            </w:r>
          </w:hyperlink>
        </w:p>
        <w:p w14:paraId="6ED1E02D" w14:textId="77777777" w:rsidR="00907974" w:rsidRDefault="00907974">
          <w:pPr>
            <w:pStyle w:val="TM1"/>
            <w:tabs>
              <w:tab w:val="right" w:leader="dot" w:pos="9016"/>
            </w:tabs>
            <w:rPr>
              <w:noProof/>
            </w:rPr>
          </w:pPr>
          <w:hyperlink w:anchor="_Toc223038829" w:history="1">
            <w:r w:rsidRPr="009667F7">
              <w:rPr>
                <w:rStyle w:val="Lienhypertexte"/>
                <w:noProof/>
              </w:rPr>
              <w:t>Partie 3 — Exploitation et intégration</w:t>
            </w:r>
            <w:r>
              <w:rPr>
                <w:noProof/>
              </w:rPr>
              <w:tab/>
            </w:r>
            <w:r>
              <w:rPr>
                <w:noProof/>
              </w:rPr>
              <w:fldChar w:fldCharType="begin"/>
            </w:r>
            <w:r>
              <w:rPr>
                <w:noProof/>
              </w:rPr>
              <w:instrText xml:space="preserve"> PAGEREF _Toc223038829 \h </w:instrText>
            </w:r>
            <w:r>
              <w:rPr>
                <w:noProof/>
              </w:rPr>
            </w:r>
            <w:r>
              <w:rPr>
                <w:noProof/>
              </w:rPr>
              <w:fldChar w:fldCharType="separate"/>
            </w:r>
            <w:r>
              <w:rPr>
                <w:noProof/>
              </w:rPr>
              <w:t>14</w:t>
            </w:r>
            <w:r>
              <w:rPr>
                <w:noProof/>
              </w:rPr>
              <w:fldChar w:fldCharType="end"/>
            </w:r>
          </w:hyperlink>
        </w:p>
        <w:p w14:paraId="049210FE" w14:textId="77777777" w:rsidR="00907974" w:rsidRDefault="00907974">
          <w:pPr>
            <w:pStyle w:val="TM2"/>
            <w:tabs>
              <w:tab w:val="right" w:leader="dot" w:pos="9016"/>
            </w:tabs>
            <w:rPr>
              <w:noProof/>
            </w:rPr>
          </w:pPr>
          <w:hyperlink w:anchor="_Toc223038830" w:history="1">
            <w:r w:rsidRPr="009667F7">
              <w:rPr>
                <w:rStyle w:val="Lienhypertexte"/>
                <w:noProof/>
              </w:rPr>
              <w:t>3.1 Modèles d’intégration dans les workflows</w:t>
            </w:r>
            <w:r>
              <w:rPr>
                <w:noProof/>
              </w:rPr>
              <w:tab/>
            </w:r>
            <w:r>
              <w:rPr>
                <w:noProof/>
              </w:rPr>
              <w:fldChar w:fldCharType="begin"/>
            </w:r>
            <w:r>
              <w:rPr>
                <w:noProof/>
              </w:rPr>
              <w:instrText xml:space="preserve"> PAGEREF _Toc223038830 \h </w:instrText>
            </w:r>
            <w:r>
              <w:rPr>
                <w:noProof/>
              </w:rPr>
            </w:r>
            <w:r>
              <w:rPr>
                <w:noProof/>
              </w:rPr>
              <w:fldChar w:fldCharType="separate"/>
            </w:r>
            <w:r>
              <w:rPr>
                <w:noProof/>
              </w:rPr>
              <w:t>14</w:t>
            </w:r>
            <w:r>
              <w:rPr>
                <w:noProof/>
              </w:rPr>
              <w:fldChar w:fldCharType="end"/>
            </w:r>
          </w:hyperlink>
        </w:p>
        <w:p w14:paraId="72A29073" w14:textId="77777777" w:rsidR="00907974" w:rsidRDefault="00907974">
          <w:pPr>
            <w:pStyle w:val="TM3"/>
            <w:tabs>
              <w:tab w:val="right" w:leader="dot" w:pos="9016"/>
            </w:tabs>
            <w:rPr>
              <w:noProof/>
            </w:rPr>
          </w:pPr>
          <w:hyperlink w:anchor="_Toc223038831" w:history="1">
            <w:r w:rsidRPr="009667F7">
              <w:rPr>
                <w:rStyle w:val="Lienhypertexte"/>
                <w:noProof/>
              </w:rPr>
              <w:t>Mode 1 — Assistant humain</w:t>
            </w:r>
            <w:r>
              <w:rPr>
                <w:noProof/>
              </w:rPr>
              <w:tab/>
            </w:r>
            <w:r>
              <w:rPr>
                <w:noProof/>
              </w:rPr>
              <w:fldChar w:fldCharType="begin"/>
            </w:r>
            <w:r>
              <w:rPr>
                <w:noProof/>
              </w:rPr>
              <w:instrText xml:space="preserve"> PAGEREF _Toc223038831 \h </w:instrText>
            </w:r>
            <w:r>
              <w:rPr>
                <w:noProof/>
              </w:rPr>
            </w:r>
            <w:r>
              <w:rPr>
                <w:noProof/>
              </w:rPr>
              <w:fldChar w:fldCharType="separate"/>
            </w:r>
            <w:r>
              <w:rPr>
                <w:noProof/>
              </w:rPr>
              <w:t>14</w:t>
            </w:r>
            <w:r>
              <w:rPr>
                <w:noProof/>
              </w:rPr>
              <w:fldChar w:fldCharType="end"/>
            </w:r>
          </w:hyperlink>
        </w:p>
        <w:p w14:paraId="618C841C" w14:textId="77777777" w:rsidR="00907974" w:rsidRDefault="00907974">
          <w:pPr>
            <w:pStyle w:val="TM3"/>
            <w:tabs>
              <w:tab w:val="right" w:leader="dot" w:pos="9016"/>
            </w:tabs>
            <w:rPr>
              <w:noProof/>
            </w:rPr>
          </w:pPr>
          <w:hyperlink w:anchor="_Toc223038832" w:history="1">
            <w:r w:rsidRPr="009667F7">
              <w:rPr>
                <w:rStyle w:val="Lienhypertexte"/>
                <w:noProof/>
              </w:rPr>
              <w:t>Mode 2 — Copilote IA</w:t>
            </w:r>
            <w:r>
              <w:rPr>
                <w:noProof/>
              </w:rPr>
              <w:tab/>
            </w:r>
            <w:r>
              <w:rPr>
                <w:noProof/>
              </w:rPr>
              <w:fldChar w:fldCharType="begin"/>
            </w:r>
            <w:r>
              <w:rPr>
                <w:noProof/>
              </w:rPr>
              <w:instrText xml:space="preserve"> PAGEREF _Toc223038832 \h </w:instrText>
            </w:r>
            <w:r>
              <w:rPr>
                <w:noProof/>
              </w:rPr>
            </w:r>
            <w:r>
              <w:rPr>
                <w:noProof/>
              </w:rPr>
              <w:fldChar w:fldCharType="separate"/>
            </w:r>
            <w:r>
              <w:rPr>
                <w:noProof/>
              </w:rPr>
              <w:t>14</w:t>
            </w:r>
            <w:r>
              <w:rPr>
                <w:noProof/>
              </w:rPr>
              <w:fldChar w:fldCharType="end"/>
            </w:r>
          </w:hyperlink>
        </w:p>
        <w:p w14:paraId="66B51B95" w14:textId="77777777" w:rsidR="00907974" w:rsidRDefault="00907974">
          <w:pPr>
            <w:pStyle w:val="TM3"/>
            <w:tabs>
              <w:tab w:val="right" w:leader="dot" w:pos="9016"/>
            </w:tabs>
            <w:rPr>
              <w:noProof/>
            </w:rPr>
          </w:pPr>
          <w:hyperlink w:anchor="_Toc223038833" w:history="1">
            <w:r w:rsidRPr="009667F7">
              <w:rPr>
                <w:rStyle w:val="Lienhypertexte"/>
                <w:noProof/>
              </w:rPr>
              <w:t>Mode 3 — Agent encadré</w:t>
            </w:r>
            <w:r>
              <w:rPr>
                <w:noProof/>
              </w:rPr>
              <w:tab/>
            </w:r>
            <w:r>
              <w:rPr>
                <w:noProof/>
              </w:rPr>
              <w:fldChar w:fldCharType="begin"/>
            </w:r>
            <w:r>
              <w:rPr>
                <w:noProof/>
              </w:rPr>
              <w:instrText xml:space="preserve"> PAGEREF _Toc223038833 \h </w:instrText>
            </w:r>
            <w:r>
              <w:rPr>
                <w:noProof/>
              </w:rPr>
            </w:r>
            <w:r>
              <w:rPr>
                <w:noProof/>
              </w:rPr>
              <w:fldChar w:fldCharType="separate"/>
            </w:r>
            <w:r>
              <w:rPr>
                <w:noProof/>
              </w:rPr>
              <w:t>15</w:t>
            </w:r>
            <w:r>
              <w:rPr>
                <w:noProof/>
              </w:rPr>
              <w:fldChar w:fldCharType="end"/>
            </w:r>
          </w:hyperlink>
        </w:p>
        <w:p w14:paraId="4CF0152B" w14:textId="77777777" w:rsidR="00907974" w:rsidRDefault="00907974">
          <w:pPr>
            <w:pStyle w:val="TM2"/>
            <w:tabs>
              <w:tab w:val="right" w:leader="dot" w:pos="9016"/>
            </w:tabs>
            <w:rPr>
              <w:noProof/>
            </w:rPr>
          </w:pPr>
          <w:hyperlink w:anchor="_Toc223038834" w:history="1">
            <w:r w:rsidRPr="009667F7">
              <w:rPr>
                <w:rStyle w:val="Lienhypertexte"/>
                <w:noProof/>
              </w:rPr>
              <w:t>3.2 Gouvernance des Objets Cognitifs</w:t>
            </w:r>
            <w:r>
              <w:rPr>
                <w:noProof/>
              </w:rPr>
              <w:tab/>
            </w:r>
            <w:r>
              <w:rPr>
                <w:noProof/>
              </w:rPr>
              <w:fldChar w:fldCharType="begin"/>
            </w:r>
            <w:r>
              <w:rPr>
                <w:noProof/>
              </w:rPr>
              <w:instrText xml:space="preserve"> PAGEREF _Toc223038834 \h </w:instrText>
            </w:r>
            <w:r>
              <w:rPr>
                <w:noProof/>
              </w:rPr>
            </w:r>
            <w:r>
              <w:rPr>
                <w:noProof/>
              </w:rPr>
              <w:fldChar w:fldCharType="separate"/>
            </w:r>
            <w:r>
              <w:rPr>
                <w:noProof/>
              </w:rPr>
              <w:t>16</w:t>
            </w:r>
            <w:r>
              <w:rPr>
                <w:noProof/>
              </w:rPr>
              <w:fldChar w:fldCharType="end"/>
            </w:r>
          </w:hyperlink>
        </w:p>
        <w:p w14:paraId="3168FDFF" w14:textId="77777777" w:rsidR="00907974" w:rsidRDefault="00907974">
          <w:pPr>
            <w:pStyle w:val="TM3"/>
            <w:tabs>
              <w:tab w:val="right" w:leader="dot" w:pos="9016"/>
            </w:tabs>
            <w:rPr>
              <w:noProof/>
            </w:rPr>
          </w:pPr>
          <w:hyperlink w:anchor="_Toc223038835" w:history="1">
            <w:r w:rsidRPr="009667F7">
              <w:rPr>
                <w:rStyle w:val="Lienhypertexte"/>
                <w:noProof/>
              </w:rPr>
              <w:t>Ownership</w:t>
            </w:r>
            <w:r>
              <w:rPr>
                <w:noProof/>
              </w:rPr>
              <w:tab/>
            </w:r>
            <w:r>
              <w:rPr>
                <w:noProof/>
              </w:rPr>
              <w:fldChar w:fldCharType="begin"/>
            </w:r>
            <w:r>
              <w:rPr>
                <w:noProof/>
              </w:rPr>
              <w:instrText xml:space="preserve"> PAGEREF _Toc223038835 \h </w:instrText>
            </w:r>
            <w:r>
              <w:rPr>
                <w:noProof/>
              </w:rPr>
            </w:r>
            <w:r>
              <w:rPr>
                <w:noProof/>
              </w:rPr>
              <w:fldChar w:fldCharType="separate"/>
            </w:r>
            <w:r>
              <w:rPr>
                <w:noProof/>
              </w:rPr>
              <w:t>16</w:t>
            </w:r>
            <w:r>
              <w:rPr>
                <w:noProof/>
              </w:rPr>
              <w:fldChar w:fldCharType="end"/>
            </w:r>
          </w:hyperlink>
        </w:p>
        <w:p w14:paraId="23E4DE47" w14:textId="77777777" w:rsidR="00907974" w:rsidRDefault="00907974">
          <w:pPr>
            <w:pStyle w:val="TM3"/>
            <w:tabs>
              <w:tab w:val="right" w:leader="dot" w:pos="9016"/>
            </w:tabs>
            <w:rPr>
              <w:noProof/>
            </w:rPr>
          </w:pPr>
          <w:hyperlink w:anchor="_Toc223038836" w:history="1">
            <w:r w:rsidRPr="009667F7">
              <w:rPr>
                <w:rStyle w:val="Lienhypertexte"/>
                <w:noProof/>
              </w:rPr>
              <w:t>Versionnement</w:t>
            </w:r>
            <w:r>
              <w:rPr>
                <w:noProof/>
              </w:rPr>
              <w:tab/>
            </w:r>
            <w:r>
              <w:rPr>
                <w:noProof/>
              </w:rPr>
              <w:fldChar w:fldCharType="begin"/>
            </w:r>
            <w:r>
              <w:rPr>
                <w:noProof/>
              </w:rPr>
              <w:instrText xml:space="preserve"> PAGEREF _Toc223038836 \h </w:instrText>
            </w:r>
            <w:r>
              <w:rPr>
                <w:noProof/>
              </w:rPr>
            </w:r>
            <w:r>
              <w:rPr>
                <w:noProof/>
              </w:rPr>
              <w:fldChar w:fldCharType="separate"/>
            </w:r>
            <w:r>
              <w:rPr>
                <w:noProof/>
              </w:rPr>
              <w:t>16</w:t>
            </w:r>
            <w:r>
              <w:rPr>
                <w:noProof/>
              </w:rPr>
              <w:fldChar w:fldCharType="end"/>
            </w:r>
          </w:hyperlink>
        </w:p>
        <w:p w14:paraId="1E301DF1" w14:textId="77777777" w:rsidR="00907974" w:rsidRDefault="00907974">
          <w:pPr>
            <w:pStyle w:val="TM3"/>
            <w:tabs>
              <w:tab w:val="right" w:leader="dot" w:pos="9016"/>
            </w:tabs>
            <w:rPr>
              <w:noProof/>
            </w:rPr>
          </w:pPr>
          <w:hyperlink w:anchor="_Toc223038837" w:history="1">
            <w:r w:rsidRPr="009667F7">
              <w:rPr>
                <w:rStyle w:val="Lienhypertexte"/>
                <w:noProof/>
              </w:rPr>
              <w:t>Revue qualité</w:t>
            </w:r>
            <w:r>
              <w:rPr>
                <w:noProof/>
              </w:rPr>
              <w:tab/>
            </w:r>
            <w:r>
              <w:rPr>
                <w:noProof/>
              </w:rPr>
              <w:fldChar w:fldCharType="begin"/>
            </w:r>
            <w:r>
              <w:rPr>
                <w:noProof/>
              </w:rPr>
              <w:instrText xml:space="preserve"> PAGEREF _Toc223038837 \h </w:instrText>
            </w:r>
            <w:r>
              <w:rPr>
                <w:noProof/>
              </w:rPr>
            </w:r>
            <w:r>
              <w:rPr>
                <w:noProof/>
              </w:rPr>
              <w:fldChar w:fldCharType="separate"/>
            </w:r>
            <w:r>
              <w:rPr>
                <w:noProof/>
              </w:rPr>
              <w:t>16</w:t>
            </w:r>
            <w:r>
              <w:rPr>
                <w:noProof/>
              </w:rPr>
              <w:fldChar w:fldCharType="end"/>
            </w:r>
          </w:hyperlink>
        </w:p>
        <w:p w14:paraId="36F9595A" w14:textId="77777777" w:rsidR="00907974" w:rsidRDefault="00907974">
          <w:pPr>
            <w:pStyle w:val="TM3"/>
            <w:tabs>
              <w:tab w:val="right" w:leader="dot" w:pos="9016"/>
            </w:tabs>
            <w:rPr>
              <w:noProof/>
            </w:rPr>
          </w:pPr>
          <w:hyperlink w:anchor="_Toc223038838" w:history="1">
            <w:r w:rsidRPr="009667F7">
              <w:rPr>
                <w:rStyle w:val="Lienhypertexte"/>
                <w:noProof/>
              </w:rPr>
              <w:t>Catalogue</w:t>
            </w:r>
            <w:r>
              <w:rPr>
                <w:noProof/>
              </w:rPr>
              <w:tab/>
            </w:r>
            <w:r>
              <w:rPr>
                <w:noProof/>
              </w:rPr>
              <w:fldChar w:fldCharType="begin"/>
            </w:r>
            <w:r>
              <w:rPr>
                <w:noProof/>
              </w:rPr>
              <w:instrText xml:space="preserve"> PAGEREF _Toc223038838 \h </w:instrText>
            </w:r>
            <w:r>
              <w:rPr>
                <w:noProof/>
              </w:rPr>
            </w:r>
            <w:r>
              <w:rPr>
                <w:noProof/>
              </w:rPr>
              <w:fldChar w:fldCharType="separate"/>
            </w:r>
            <w:r>
              <w:rPr>
                <w:noProof/>
              </w:rPr>
              <w:t>16</w:t>
            </w:r>
            <w:r>
              <w:rPr>
                <w:noProof/>
              </w:rPr>
              <w:fldChar w:fldCharType="end"/>
            </w:r>
          </w:hyperlink>
        </w:p>
        <w:p w14:paraId="16E5B162" w14:textId="77777777" w:rsidR="00907974" w:rsidRDefault="00907974">
          <w:pPr>
            <w:pStyle w:val="TM3"/>
            <w:tabs>
              <w:tab w:val="right" w:leader="dot" w:pos="9016"/>
            </w:tabs>
            <w:rPr>
              <w:noProof/>
            </w:rPr>
          </w:pPr>
          <w:hyperlink w:anchor="_Toc223038839" w:history="1">
            <w:r w:rsidRPr="009667F7">
              <w:rPr>
                <w:rStyle w:val="Lienhypertexte"/>
                <w:noProof/>
              </w:rPr>
              <w:t>Décommissionnement</w:t>
            </w:r>
            <w:r>
              <w:rPr>
                <w:noProof/>
              </w:rPr>
              <w:tab/>
            </w:r>
            <w:r>
              <w:rPr>
                <w:noProof/>
              </w:rPr>
              <w:fldChar w:fldCharType="begin"/>
            </w:r>
            <w:r>
              <w:rPr>
                <w:noProof/>
              </w:rPr>
              <w:instrText xml:space="preserve"> PAGEREF _Toc223038839 \h </w:instrText>
            </w:r>
            <w:r>
              <w:rPr>
                <w:noProof/>
              </w:rPr>
            </w:r>
            <w:r>
              <w:rPr>
                <w:noProof/>
              </w:rPr>
              <w:fldChar w:fldCharType="separate"/>
            </w:r>
            <w:r>
              <w:rPr>
                <w:noProof/>
              </w:rPr>
              <w:t>16</w:t>
            </w:r>
            <w:r>
              <w:rPr>
                <w:noProof/>
              </w:rPr>
              <w:fldChar w:fldCharType="end"/>
            </w:r>
          </w:hyperlink>
        </w:p>
        <w:p w14:paraId="04D2AE5C" w14:textId="77777777" w:rsidR="00907974" w:rsidRDefault="00907974">
          <w:pPr>
            <w:pStyle w:val="TM2"/>
            <w:tabs>
              <w:tab w:val="right" w:leader="dot" w:pos="9016"/>
            </w:tabs>
            <w:rPr>
              <w:noProof/>
            </w:rPr>
          </w:pPr>
          <w:hyperlink w:anchor="_Toc223038840" w:history="1">
            <w:r w:rsidRPr="009667F7">
              <w:rPr>
                <w:rStyle w:val="Lienhypertexte"/>
                <w:noProof/>
              </w:rPr>
              <w:t>3.3 Conduite du changement</w:t>
            </w:r>
            <w:r>
              <w:rPr>
                <w:noProof/>
              </w:rPr>
              <w:tab/>
            </w:r>
            <w:r>
              <w:rPr>
                <w:noProof/>
              </w:rPr>
              <w:fldChar w:fldCharType="begin"/>
            </w:r>
            <w:r>
              <w:rPr>
                <w:noProof/>
              </w:rPr>
              <w:instrText xml:space="preserve"> PAGEREF _Toc223038840 \h </w:instrText>
            </w:r>
            <w:r>
              <w:rPr>
                <w:noProof/>
              </w:rPr>
            </w:r>
            <w:r>
              <w:rPr>
                <w:noProof/>
              </w:rPr>
              <w:fldChar w:fldCharType="separate"/>
            </w:r>
            <w:r>
              <w:rPr>
                <w:noProof/>
              </w:rPr>
              <w:t>16</w:t>
            </w:r>
            <w:r>
              <w:rPr>
                <w:noProof/>
              </w:rPr>
              <w:fldChar w:fldCharType="end"/>
            </w:r>
          </w:hyperlink>
        </w:p>
        <w:p w14:paraId="2177A3EA" w14:textId="77777777" w:rsidR="00907974" w:rsidRDefault="00907974">
          <w:pPr>
            <w:pStyle w:val="TM3"/>
            <w:tabs>
              <w:tab w:val="right" w:leader="dot" w:pos="9016"/>
            </w:tabs>
            <w:rPr>
              <w:noProof/>
            </w:rPr>
          </w:pPr>
          <w:hyperlink w:anchor="_Toc223038841" w:history="1">
            <w:r w:rsidRPr="009667F7">
              <w:rPr>
                <w:rStyle w:val="Lienhypertexte"/>
                <w:noProof/>
              </w:rPr>
              <w:t>Expliquer le concept en 5 minutes</w:t>
            </w:r>
            <w:r>
              <w:rPr>
                <w:noProof/>
              </w:rPr>
              <w:tab/>
            </w:r>
            <w:r>
              <w:rPr>
                <w:noProof/>
              </w:rPr>
              <w:fldChar w:fldCharType="begin"/>
            </w:r>
            <w:r>
              <w:rPr>
                <w:noProof/>
              </w:rPr>
              <w:instrText xml:space="preserve"> PAGEREF _Toc223038841 \h </w:instrText>
            </w:r>
            <w:r>
              <w:rPr>
                <w:noProof/>
              </w:rPr>
            </w:r>
            <w:r>
              <w:rPr>
                <w:noProof/>
              </w:rPr>
              <w:fldChar w:fldCharType="separate"/>
            </w:r>
            <w:r>
              <w:rPr>
                <w:noProof/>
              </w:rPr>
              <w:t>16</w:t>
            </w:r>
            <w:r>
              <w:rPr>
                <w:noProof/>
              </w:rPr>
              <w:fldChar w:fldCharType="end"/>
            </w:r>
          </w:hyperlink>
        </w:p>
        <w:p w14:paraId="05D80D18" w14:textId="77777777" w:rsidR="00907974" w:rsidRDefault="00907974">
          <w:pPr>
            <w:pStyle w:val="TM3"/>
            <w:tabs>
              <w:tab w:val="right" w:leader="dot" w:pos="9016"/>
            </w:tabs>
            <w:rPr>
              <w:noProof/>
            </w:rPr>
          </w:pPr>
          <w:hyperlink w:anchor="_Toc223038842" w:history="1">
            <w:r w:rsidRPr="009667F7">
              <w:rPr>
                <w:rStyle w:val="Lienhypertexte"/>
                <w:noProof/>
              </w:rPr>
              <w:t>Gérer la résistance des experts</w:t>
            </w:r>
            <w:r>
              <w:rPr>
                <w:noProof/>
              </w:rPr>
              <w:tab/>
            </w:r>
            <w:r>
              <w:rPr>
                <w:noProof/>
              </w:rPr>
              <w:fldChar w:fldCharType="begin"/>
            </w:r>
            <w:r>
              <w:rPr>
                <w:noProof/>
              </w:rPr>
              <w:instrText xml:space="preserve"> PAGEREF _Toc223038842 \h </w:instrText>
            </w:r>
            <w:r>
              <w:rPr>
                <w:noProof/>
              </w:rPr>
            </w:r>
            <w:r>
              <w:rPr>
                <w:noProof/>
              </w:rPr>
              <w:fldChar w:fldCharType="separate"/>
            </w:r>
            <w:r>
              <w:rPr>
                <w:noProof/>
              </w:rPr>
              <w:t>17</w:t>
            </w:r>
            <w:r>
              <w:rPr>
                <w:noProof/>
              </w:rPr>
              <w:fldChar w:fldCharType="end"/>
            </w:r>
          </w:hyperlink>
        </w:p>
        <w:p w14:paraId="4C7B1754" w14:textId="77777777" w:rsidR="00907974" w:rsidRDefault="00907974">
          <w:pPr>
            <w:pStyle w:val="TM3"/>
            <w:tabs>
              <w:tab w:val="right" w:leader="dot" w:pos="9016"/>
            </w:tabs>
            <w:rPr>
              <w:noProof/>
            </w:rPr>
          </w:pPr>
          <w:hyperlink w:anchor="_Toc223038843" w:history="1">
            <w:r w:rsidRPr="009667F7">
              <w:rPr>
                <w:rStyle w:val="Lienhypertexte"/>
                <w:noProof/>
              </w:rPr>
              <w:t>Éviter le POC décoratif</w:t>
            </w:r>
            <w:r>
              <w:rPr>
                <w:noProof/>
              </w:rPr>
              <w:tab/>
            </w:r>
            <w:r>
              <w:rPr>
                <w:noProof/>
              </w:rPr>
              <w:fldChar w:fldCharType="begin"/>
            </w:r>
            <w:r>
              <w:rPr>
                <w:noProof/>
              </w:rPr>
              <w:instrText xml:space="preserve"> PAGEREF _Toc223038843 \h </w:instrText>
            </w:r>
            <w:r>
              <w:rPr>
                <w:noProof/>
              </w:rPr>
            </w:r>
            <w:r>
              <w:rPr>
                <w:noProof/>
              </w:rPr>
              <w:fldChar w:fldCharType="separate"/>
            </w:r>
            <w:r>
              <w:rPr>
                <w:noProof/>
              </w:rPr>
              <w:t>17</w:t>
            </w:r>
            <w:r>
              <w:rPr>
                <w:noProof/>
              </w:rPr>
              <w:fldChar w:fldCharType="end"/>
            </w:r>
          </w:hyperlink>
        </w:p>
        <w:p w14:paraId="293AC18A" w14:textId="77777777" w:rsidR="00907974" w:rsidRDefault="00907974">
          <w:pPr>
            <w:pStyle w:val="TM3"/>
            <w:tabs>
              <w:tab w:val="right" w:leader="dot" w:pos="9016"/>
            </w:tabs>
            <w:rPr>
              <w:noProof/>
            </w:rPr>
          </w:pPr>
          <w:hyperlink w:anchor="_Toc223038844" w:history="1">
            <w:r w:rsidRPr="009667F7">
              <w:rPr>
                <w:rStyle w:val="Lienhypertexte"/>
                <w:noProof/>
              </w:rPr>
              <w:t>Créer les premiers ambassadeurs</w:t>
            </w:r>
            <w:r>
              <w:rPr>
                <w:noProof/>
              </w:rPr>
              <w:tab/>
            </w:r>
            <w:r>
              <w:rPr>
                <w:noProof/>
              </w:rPr>
              <w:fldChar w:fldCharType="begin"/>
            </w:r>
            <w:r>
              <w:rPr>
                <w:noProof/>
              </w:rPr>
              <w:instrText xml:space="preserve"> PAGEREF _Toc223038844 \h </w:instrText>
            </w:r>
            <w:r>
              <w:rPr>
                <w:noProof/>
              </w:rPr>
            </w:r>
            <w:r>
              <w:rPr>
                <w:noProof/>
              </w:rPr>
              <w:fldChar w:fldCharType="separate"/>
            </w:r>
            <w:r>
              <w:rPr>
                <w:noProof/>
              </w:rPr>
              <w:t>17</w:t>
            </w:r>
            <w:r>
              <w:rPr>
                <w:noProof/>
              </w:rPr>
              <w:fldChar w:fldCharType="end"/>
            </w:r>
          </w:hyperlink>
        </w:p>
        <w:p w14:paraId="4E1FA4AC" w14:textId="77777777" w:rsidR="00907974" w:rsidRDefault="00907974">
          <w:pPr>
            <w:pStyle w:val="TM1"/>
            <w:tabs>
              <w:tab w:val="right" w:leader="dot" w:pos="9016"/>
            </w:tabs>
            <w:rPr>
              <w:noProof/>
            </w:rPr>
          </w:pPr>
          <w:hyperlink w:anchor="_Toc223038845" w:history="1">
            <w:r w:rsidRPr="009667F7">
              <w:rPr>
                <w:rStyle w:val="Lienhypertexte"/>
                <w:noProof/>
              </w:rPr>
              <w:t>Partie 4 — Amélioration continue et maturité</w:t>
            </w:r>
            <w:r>
              <w:rPr>
                <w:noProof/>
              </w:rPr>
              <w:tab/>
            </w:r>
            <w:r>
              <w:rPr>
                <w:noProof/>
              </w:rPr>
              <w:fldChar w:fldCharType="begin"/>
            </w:r>
            <w:r>
              <w:rPr>
                <w:noProof/>
              </w:rPr>
              <w:instrText xml:space="preserve"> PAGEREF _Toc223038845 \h </w:instrText>
            </w:r>
            <w:r>
              <w:rPr>
                <w:noProof/>
              </w:rPr>
            </w:r>
            <w:r>
              <w:rPr>
                <w:noProof/>
              </w:rPr>
              <w:fldChar w:fldCharType="separate"/>
            </w:r>
            <w:r>
              <w:rPr>
                <w:noProof/>
              </w:rPr>
              <w:t>18</w:t>
            </w:r>
            <w:r>
              <w:rPr>
                <w:noProof/>
              </w:rPr>
              <w:fldChar w:fldCharType="end"/>
            </w:r>
          </w:hyperlink>
        </w:p>
        <w:p w14:paraId="2EFD36A6" w14:textId="77777777" w:rsidR="00907974" w:rsidRDefault="00907974">
          <w:pPr>
            <w:pStyle w:val="TM2"/>
            <w:tabs>
              <w:tab w:val="right" w:leader="dot" w:pos="9016"/>
            </w:tabs>
            <w:rPr>
              <w:noProof/>
            </w:rPr>
          </w:pPr>
          <w:hyperlink w:anchor="_Toc223038846" w:history="1">
            <w:r w:rsidRPr="009667F7">
              <w:rPr>
                <w:rStyle w:val="Lienhypertexte"/>
                <w:noProof/>
              </w:rPr>
              <w:t>4.1 Métriques d’évaluation</w:t>
            </w:r>
            <w:r>
              <w:rPr>
                <w:noProof/>
              </w:rPr>
              <w:tab/>
            </w:r>
            <w:r>
              <w:rPr>
                <w:noProof/>
              </w:rPr>
              <w:fldChar w:fldCharType="begin"/>
            </w:r>
            <w:r>
              <w:rPr>
                <w:noProof/>
              </w:rPr>
              <w:instrText xml:space="preserve"> PAGEREF _Toc223038846 \h </w:instrText>
            </w:r>
            <w:r>
              <w:rPr>
                <w:noProof/>
              </w:rPr>
            </w:r>
            <w:r>
              <w:rPr>
                <w:noProof/>
              </w:rPr>
              <w:fldChar w:fldCharType="separate"/>
            </w:r>
            <w:r>
              <w:rPr>
                <w:noProof/>
              </w:rPr>
              <w:t>18</w:t>
            </w:r>
            <w:r>
              <w:rPr>
                <w:noProof/>
              </w:rPr>
              <w:fldChar w:fldCharType="end"/>
            </w:r>
          </w:hyperlink>
        </w:p>
        <w:p w14:paraId="432641D1" w14:textId="77777777" w:rsidR="00907974" w:rsidRDefault="00907974">
          <w:pPr>
            <w:pStyle w:val="TM3"/>
            <w:tabs>
              <w:tab w:val="right" w:leader="dot" w:pos="9016"/>
            </w:tabs>
            <w:rPr>
              <w:noProof/>
            </w:rPr>
          </w:pPr>
          <w:hyperlink w:anchor="_Toc223038847" w:history="1">
            <w:r w:rsidRPr="009667F7">
              <w:rPr>
                <w:rStyle w:val="Lienhypertexte"/>
                <w:noProof/>
              </w:rPr>
              <w:t>Niveau 1 — OC individuel</w:t>
            </w:r>
            <w:r>
              <w:rPr>
                <w:noProof/>
              </w:rPr>
              <w:tab/>
            </w:r>
            <w:r>
              <w:rPr>
                <w:noProof/>
              </w:rPr>
              <w:fldChar w:fldCharType="begin"/>
            </w:r>
            <w:r>
              <w:rPr>
                <w:noProof/>
              </w:rPr>
              <w:instrText xml:space="preserve"> PAGEREF _Toc223038847 \h </w:instrText>
            </w:r>
            <w:r>
              <w:rPr>
                <w:noProof/>
              </w:rPr>
            </w:r>
            <w:r>
              <w:rPr>
                <w:noProof/>
              </w:rPr>
              <w:fldChar w:fldCharType="separate"/>
            </w:r>
            <w:r>
              <w:rPr>
                <w:noProof/>
              </w:rPr>
              <w:t>18</w:t>
            </w:r>
            <w:r>
              <w:rPr>
                <w:noProof/>
              </w:rPr>
              <w:fldChar w:fldCharType="end"/>
            </w:r>
          </w:hyperlink>
        </w:p>
        <w:p w14:paraId="2DB7BBA7" w14:textId="77777777" w:rsidR="00907974" w:rsidRDefault="00907974">
          <w:pPr>
            <w:pStyle w:val="TM3"/>
            <w:tabs>
              <w:tab w:val="right" w:leader="dot" w:pos="9016"/>
            </w:tabs>
            <w:rPr>
              <w:noProof/>
            </w:rPr>
          </w:pPr>
          <w:hyperlink w:anchor="_Toc223038848" w:history="1">
            <w:r w:rsidRPr="009667F7">
              <w:rPr>
                <w:rStyle w:val="Lienhypertexte"/>
                <w:noProof/>
              </w:rPr>
              <w:t>Niveau 2 — Écosystème</w:t>
            </w:r>
            <w:r>
              <w:rPr>
                <w:noProof/>
              </w:rPr>
              <w:tab/>
            </w:r>
            <w:r>
              <w:rPr>
                <w:noProof/>
              </w:rPr>
              <w:fldChar w:fldCharType="begin"/>
            </w:r>
            <w:r>
              <w:rPr>
                <w:noProof/>
              </w:rPr>
              <w:instrText xml:space="preserve"> PAGEREF _Toc223038848 \h </w:instrText>
            </w:r>
            <w:r>
              <w:rPr>
                <w:noProof/>
              </w:rPr>
            </w:r>
            <w:r>
              <w:rPr>
                <w:noProof/>
              </w:rPr>
              <w:fldChar w:fldCharType="separate"/>
            </w:r>
            <w:r>
              <w:rPr>
                <w:noProof/>
              </w:rPr>
              <w:t>18</w:t>
            </w:r>
            <w:r>
              <w:rPr>
                <w:noProof/>
              </w:rPr>
              <w:fldChar w:fldCharType="end"/>
            </w:r>
          </w:hyperlink>
        </w:p>
        <w:p w14:paraId="7CA6CF81" w14:textId="77777777" w:rsidR="00907974" w:rsidRDefault="00907974">
          <w:pPr>
            <w:pStyle w:val="TM3"/>
            <w:tabs>
              <w:tab w:val="right" w:leader="dot" w:pos="9016"/>
            </w:tabs>
            <w:rPr>
              <w:noProof/>
            </w:rPr>
          </w:pPr>
          <w:hyperlink w:anchor="_Toc223038849" w:history="1">
            <w:r w:rsidRPr="009667F7">
              <w:rPr>
                <w:rStyle w:val="Lienhypertexte"/>
                <w:noProof/>
              </w:rPr>
              <w:t>Niveau 3 — Organisation</w:t>
            </w:r>
            <w:r>
              <w:rPr>
                <w:noProof/>
              </w:rPr>
              <w:tab/>
            </w:r>
            <w:r>
              <w:rPr>
                <w:noProof/>
              </w:rPr>
              <w:fldChar w:fldCharType="begin"/>
            </w:r>
            <w:r>
              <w:rPr>
                <w:noProof/>
              </w:rPr>
              <w:instrText xml:space="preserve"> PAGEREF _Toc223038849 \h </w:instrText>
            </w:r>
            <w:r>
              <w:rPr>
                <w:noProof/>
              </w:rPr>
            </w:r>
            <w:r>
              <w:rPr>
                <w:noProof/>
              </w:rPr>
              <w:fldChar w:fldCharType="separate"/>
            </w:r>
            <w:r>
              <w:rPr>
                <w:noProof/>
              </w:rPr>
              <w:t>18</w:t>
            </w:r>
            <w:r>
              <w:rPr>
                <w:noProof/>
              </w:rPr>
              <w:fldChar w:fldCharType="end"/>
            </w:r>
          </w:hyperlink>
        </w:p>
        <w:p w14:paraId="26737FE6" w14:textId="77777777" w:rsidR="00907974" w:rsidRDefault="00907974">
          <w:pPr>
            <w:pStyle w:val="TM2"/>
            <w:tabs>
              <w:tab w:val="right" w:leader="dot" w:pos="9016"/>
            </w:tabs>
            <w:rPr>
              <w:noProof/>
            </w:rPr>
          </w:pPr>
          <w:hyperlink w:anchor="_Toc223038850" w:history="1">
            <w:r w:rsidRPr="009667F7">
              <w:rPr>
                <w:rStyle w:val="Lienhypertexte"/>
                <w:noProof/>
              </w:rPr>
              <w:t>4.2 Boucles d’apprentissage</w:t>
            </w:r>
            <w:r>
              <w:rPr>
                <w:noProof/>
              </w:rPr>
              <w:tab/>
            </w:r>
            <w:r>
              <w:rPr>
                <w:noProof/>
              </w:rPr>
              <w:fldChar w:fldCharType="begin"/>
            </w:r>
            <w:r>
              <w:rPr>
                <w:noProof/>
              </w:rPr>
              <w:instrText xml:space="preserve"> PAGEREF _Toc223038850 \h </w:instrText>
            </w:r>
            <w:r>
              <w:rPr>
                <w:noProof/>
              </w:rPr>
            </w:r>
            <w:r>
              <w:rPr>
                <w:noProof/>
              </w:rPr>
              <w:fldChar w:fldCharType="separate"/>
            </w:r>
            <w:r>
              <w:rPr>
                <w:noProof/>
              </w:rPr>
              <w:t>19</w:t>
            </w:r>
            <w:r>
              <w:rPr>
                <w:noProof/>
              </w:rPr>
              <w:fldChar w:fldCharType="end"/>
            </w:r>
          </w:hyperlink>
        </w:p>
        <w:p w14:paraId="37FE7418" w14:textId="77777777" w:rsidR="00907974" w:rsidRDefault="00907974">
          <w:pPr>
            <w:pStyle w:val="TM3"/>
            <w:tabs>
              <w:tab w:val="right" w:leader="dot" w:pos="9016"/>
            </w:tabs>
            <w:rPr>
              <w:noProof/>
            </w:rPr>
          </w:pPr>
          <w:hyperlink w:anchor="_Toc223038851" w:history="1">
            <w:r w:rsidRPr="009667F7">
              <w:rPr>
                <w:rStyle w:val="Lienhypertexte"/>
                <w:noProof/>
              </w:rPr>
              <w:t>Retours structurés des utilisateurs</w:t>
            </w:r>
            <w:r>
              <w:rPr>
                <w:noProof/>
              </w:rPr>
              <w:tab/>
            </w:r>
            <w:r>
              <w:rPr>
                <w:noProof/>
              </w:rPr>
              <w:fldChar w:fldCharType="begin"/>
            </w:r>
            <w:r>
              <w:rPr>
                <w:noProof/>
              </w:rPr>
              <w:instrText xml:space="preserve"> PAGEREF _Toc223038851 \h </w:instrText>
            </w:r>
            <w:r>
              <w:rPr>
                <w:noProof/>
              </w:rPr>
            </w:r>
            <w:r>
              <w:rPr>
                <w:noProof/>
              </w:rPr>
              <w:fldChar w:fldCharType="separate"/>
            </w:r>
            <w:r>
              <w:rPr>
                <w:noProof/>
              </w:rPr>
              <w:t>19</w:t>
            </w:r>
            <w:r>
              <w:rPr>
                <w:noProof/>
              </w:rPr>
              <w:fldChar w:fldCharType="end"/>
            </w:r>
          </w:hyperlink>
        </w:p>
        <w:p w14:paraId="37B898E2" w14:textId="77777777" w:rsidR="00907974" w:rsidRDefault="00907974">
          <w:pPr>
            <w:pStyle w:val="TM3"/>
            <w:tabs>
              <w:tab w:val="right" w:leader="dot" w:pos="9016"/>
            </w:tabs>
            <w:rPr>
              <w:noProof/>
            </w:rPr>
          </w:pPr>
          <w:hyperlink w:anchor="_Toc223038852" w:history="1">
            <w:r w:rsidRPr="009667F7">
              <w:rPr>
                <w:rStyle w:val="Lienhypertexte"/>
                <w:noProof/>
              </w:rPr>
              <w:t>Analyse des exceptions et dérives</w:t>
            </w:r>
            <w:r>
              <w:rPr>
                <w:noProof/>
              </w:rPr>
              <w:tab/>
            </w:r>
            <w:r>
              <w:rPr>
                <w:noProof/>
              </w:rPr>
              <w:fldChar w:fldCharType="begin"/>
            </w:r>
            <w:r>
              <w:rPr>
                <w:noProof/>
              </w:rPr>
              <w:instrText xml:space="preserve"> PAGEREF _Toc223038852 \h </w:instrText>
            </w:r>
            <w:r>
              <w:rPr>
                <w:noProof/>
              </w:rPr>
            </w:r>
            <w:r>
              <w:rPr>
                <w:noProof/>
              </w:rPr>
              <w:fldChar w:fldCharType="separate"/>
            </w:r>
            <w:r>
              <w:rPr>
                <w:noProof/>
              </w:rPr>
              <w:t>19</w:t>
            </w:r>
            <w:r>
              <w:rPr>
                <w:noProof/>
              </w:rPr>
              <w:fldChar w:fldCharType="end"/>
            </w:r>
          </w:hyperlink>
        </w:p>
        <w:p w14:paraId="3FCDD99D" w14:textId="77777777" w:rsidR="00907974" w:rsidRDefault="00907974">
          <w:pPr>
            <w:pStyle w:val="TM3"/>
            <w:tabs>
              <w:tab w:val="right" w:leader="dot" w:pos="9016"/>
            </w:tabs>
            <w:rPr>
              <w:noProof/>
            </w:rPr>
          </w:pPr>
          <w:hyperlink w:anchor="_Toc223038853" w:history="1">
            <w:r w:rsidRPr="009667F7">
              <w:rPr>
                <w:rStyle w:val="Lienhypertexte"/>
                <w:noProof/>
              </w:rPr>
              <w:t>Cycle de révision planifié</w:t>
            </w:r>
            <w:r>
              <w:rPr>
                <w:noProof/>
              </w:rPr>
              <w:tab/>
            </w:r>
            <w:r>
              <w:rPr>
                <w:noProof/>
              </w:rPr>
              <w:fldChar w:fldCharType="begin"/>
            </w:r>
            <w:r>
              <w:rPr>
                <w:noProof/>
              </w:rPr>
              <w:instrText xml:space="preserve"> PAGEREF _Toc223038853 \h </w:instrText>
            </w:r>
            <w:r>
              <w:rPr>
                <w:noProof/>
              </w:rPr>
            </w:r>
            <w:r>
              <w:rPr>
                <w:noProof/>
              </w:rPr>
              <w:fldChar w:fldCharType="separate"/>
            </w:r>
            <w:r>
              <w:rPr>
                <w:noProof/>
              </w:rPr>
              <w:t>19</w:t>
            </w:r>
            <w:r>
              <w:rPr>
                <w:noProof/>
              </w:rPr>
              <w:fldChar w:fldCharType="end"/>
            </w:r>
          </w:hyperlink>
        </w:p>
        <w:p w14:paraId="572228C3" w14:textId="77777777" w:rsidR="00907974" w:rsidRDefault="00907974">
          <w:pPr>
            <w:pStyle w:val="TM2"/>
            <w:tabs>
              <w:tab w:val="right" w:leader="dot" w:pos="9016"/>
            </w:tabs>
            <w:rPr>
              <w:noProof/>
            </w:rPr>
          </w:pPr>
          <w:hyperlink w:anchor="_Toc223038854" w:history="1">
            <w:r w:rsidRPr="009667F7">
              <w:rPr>
                <w:rStyle w:val="Lienhypertexte"/>
                <w:noProof/>
              </w:rPr>
              <w:t>4.3 Modèle de maturité organisationnelle</w:t>
            </w:r>
            <w:r>
              <w:rPr>
                <w:noProof/>
              </w:rPr>
              <w:tab/>
            </w:r>
            <w:r>
              <w:rPr>
                <w:noProof/>
              </w:rPr>
              <w:fldChar w:fldCharType="begin"/>
            </w:r>
            <w:r>
              <w:rPr>
                <w:noProof/>
              </w:rPr>
              <w:instrText xml:space="preserve"> PAGEREF _Toc223038854 \h </w:instrText>
            </w:r>
            <w:r>
              <w:rPr>
                <w:noProof/>
              </w:rPr>
            </w:r>
            <w:r>
              <w:rPr>
                <w:noProof/>
              </w:rPr>
              <w:fldChar w:fldCharType="separate"/>
            </w:r>
            <w:r>
              <w:rPr>
                <w:noProof/>
              </w:rPr>
              <w:t>19</w:t>
            </w:r>
            <w:r>
              <w:rPr>
                <w:noProof/>
              </w:rPr>
              <w:fldChar w:fldCharType="end"/>
            </w:r>
          </w:hyperlink>
        </w:p>
        <w:p w14:paraId="54829AAE" w14:textId="77777777" w:rsidR="00907974" w:rsidRDefault="00907974">
          <w:pPr>
            <w:pStyle w:val="TM1"/>
            <w:tabs>
              <w:tab w:val="right" w:leader="dot" w:pos="9016"/>
            </w:tabs>
            <w:rPr>
              <w:noProof/>
            </w:rPr>
          </w:pPr>
          <w:hyperlink w:anchor="_Toc223038855" w:history="1">
            <w:r w:rsidRPr="009667F7">
              <w:rPr>
                <w:rStyle w:val="Lienhypertexte"/>
                <w:noProof/>
              </w:rPr>
              <w:t>Conclusion — Par où commencer</w:t>
            </w:r>
            <w:r>
              <w:rPr>
                <w:noProof/>
              </w:rPr>
              <w:tab/>
            </w:r>
            <w:r>
              <w:rPr>
                <w:noProof/>
              </w:rPr>
              <w:fldChar w:fldCharType="begin"/>
            </w:r>
            <w:r>
              <w:rPr>
                <w:noProof/>
              </w:rPr>
              <w:instrText xml:space="preserve"> PAGEREF _Toc223038855 \h </w:instrText>
            </w:r>
            <w:r>
              <w:rPr>
                <w:noProof/>
              </w:rPr>
            </w:r>
            <w:r>
              <w:rPr>
                <w:noProof/>
              </w:rPr>
              <w:fldChar w:fldCharType="separate"/>
            </w:r>
            <w:r>
              <w:rPr>
                <w:noProof/>
              </w:rPr>
              <w:t>21</w:t>
            </w:r>
            <w:r>
              <w:rPr>
                <w:noProof/>
              </w:rPr>
              <w:fldChar w:fldCharType="end"/>
            </w:r>
          </w:hyperlink>
        </w:p>
        <w:p w14:paraId="3174D6E2" w14:textId="77777777" w:rsidR="00A61917" w:rsidRDefault="00000000">
          <w:r>
            <w:fldChar w:fldCharType="end"/>
          </w:r>
        </w:p>
      </w:sdtContent>
    </w:sdt>
    <w:p w14:paraId="6A64757D" w14:textId="77777777" w:rsidR="00A61917" w:rsidRDefault="00000000">
      <w:r>
        <w:br w:type="page"/>
      </w:r>
    </w:p>
    <w:p w14:paraId="2AFC3100" w14:textId="77777777" w:rsidR="00A61917" w:rsidRDefault="00000000">
      <w:pPr>
        <w:pStyle w:val="Titre1"/>
      </w:pPr>
      <w:bookmarkStart w:id="1" w:name="_Toc223038799"/>
      <w:r>
        <w:t>Introduction</w:t>
      </w:r>
      <w:bookmarkEnd w:id="1"/>
    </w:p>
    <w:p w14:paraId="27F098C1" w14:textId="77777777" w:rsidR="00A61917" w:rsidRDefault="00000000">
      <w:pPr>
        <w:spacing w:after="160" w:line="300" w:lineRule="auto"/>
        <w:jc w:val="both"/>
      </w:pPr>
      <w:r>
        <w:rPr>
          <w:color w:val="1C2833"/>
        </w:rPr>
        <w:t>Ce guide fournit une méthode complète pour concevoir, déployer et exploiter des Objets Cognitifs (OC) en contexte organisationnel réel. Il ne s’agit pas d’un cadre théorique supplémentaire : c’est un outil de travail, construit à partir de l’observation de ce qui fonctionne — et de ce qui échoue — quand les organisations tentent d’intégrer l’intelligence artificielle dans leurs processus quotidiens.</w:t>
      </w:r>
    </w:p>
    <w:p w14:paraId="5420F017" w14:textId="77777777" w:rsidR="00A61917" w:rsidRDefault="00000000">
      <w:pPr>
        <w:spacing w:after="160" w:line="300" w:lineRule="auto"/>
        <w:jc w:val="both"/>
      </w:pPr>
      <w:r>
        <w:rPr>
          <w:b/>
          <w:bCs/>
          <w:color w:val="1C2833"/>
        </w:rPr>
        <w:t xml:space="preserve">Le constat de départ est simple : </w:t>
      </w:r>
      <w:r>
        <w:rPr>
          <w:color w:val="1C2833"/>
        </w:rPr>
        <w:t>la plupart des organisations fonctionnent sur une couche bureautique informelle (mails, documents, tableurs, présentations) qui constitue leur véritable système d’exploitation. Cette couche génère une dette structurelle — versions multiples, qualité non garantie, dispersion de l’information, instabilité des référentiels — que l’IA générative ne résout pas automatiquement. Au contraire : utilisée sans méthode, elle amplifie le bruit.</w:t>
      </w:r>
    </w:p>
    <w:p w14:paraId="0EA7833E" w14:textId="77777777" w:rsidR="00A61917" w:rsidRDefault="00000000">
      <w:pPr>
        <w:spacing w:after="160" w:line="300" w:lineRule="auto"/>
        <w:jc w:val="both"/>
      </w:pPr>
      <w:r>
        <w:rPr>
          <w:b/>
          <w:bCs/>
          <w:color w:val="1C2833"/>
        </w:rPr>
        <w:t xml:space="preserve">Un Objet Cognitif </w:t>
      </w:r>
      <w:r>
        <w:rPr>
          <w:color w:val="1C2833"/>
        </w:rPr>
        <w:t>est une structure standardisée à 7 couches qui encapsule un raisonnement expert pour le rendre exécutable de manière fiable, aussi bien par des humains que par des outils d’IA. C’est la brique élémentaire d’une organisation capable d’intégrer l’IA à l’échelle — non pas en multipliant les cas d’usage isolés, mais en construisant une capacité organisationnelle réplicable.</w:t>
      </w:r>
    </w:p>
    <w:p w14:paraId="4B628FAE" w14:textId="77777777" w:rsidR="00A61917" w:rsidRDefault="00000000">
      <w:pPr>
        <w:spacing w:after="160" w:line="300" w:lineRule="auto"/>
        <w:jc w:val="both"/>
      </w:pPr>
      <w:r>
        <w:rPr>
          <w:color w:val="1C2833"/>
        </w:rPr>
        <w:t>Ce guide suit la trajectoire complète de transformation, en quatre parties : cadrage stratégique, conception, exploitation et intégration, puis amélioration continue.</w:t>
      </w:r>
    </w:p>
    <w:p w14:paraId="1F2EDBDB" w14:textId="77777777" w:rsidR="00A61917" w:rsidRDefault="00000000">
      <w:r>
        <w:br w:type="page"/>
      </w:r>
    </w:p>
    <w:p w14:paraId="63B52BA3" w14:textId="77777777" w:rsidR="00A61917" w:rsidRDefault="00000000">
      <w:pPr>
        <w:pStyle w:val="Titre1"/>
      </w:pPr>
      <w:bookmarkStart w:id="2" w:name="_Toc223038800"/>
      <w:r>
        <w:t>Partie 1 — Cadrage stratégique</w:t>
      </w:r>
      <w:bookmarkEnd w:id="2"/>
    </w:p>
    <w:p w14:paraId="3857E634" w14:textId="77777777" w:rsidR="00A61917" w:rsidRDefault="00000000">
      <w:pPr>
        <w:spacing w:after="160" w:line="300" w:lineRule="auto"/>
        <w:jc w:val="both"/>
      </w:pPr>
      <w:r>
        <w:rPr>
          <w:i/>
          <w:iCs/>
          <w:color w:val="566573"/>
        </w:rPr>
        <w:t>« Où et pourquoi déployer des Objets Cognitifs »</w:t>
      </w:r>
    </w:p>
    <w:p w14:paraId="1F273880" w14:textId="77777777" w:rsidR="00A61917" w:rsidRDefault="00000000">
      <w:pPr>
        <w:pStyle w:val="Titre2"/>
      </w:pPr>
      <w:bookmarkStart w:id="3" w:name="_Toc223038801"/>
      <w:r>
        <w:t>1.1 Diagnostic d’opportunité</w:t>
      </w:r>
      <w:bookmarkEnd w:id="3"/>
    </w:p>
    <w:p w14:paraId="3EAF57A6" w14:textId="77777777" w:rsidR="00A61917" w:rsidRDefault="00000000">
      <w:pPr>
        <w:spacing w:after="160" w:line="300" w:lineRule="auto"/>
        <w:jc w:val="both"/>
      </w:pPr>
      <w:r>
        <w:rPr>
          <w:color w:val="1C2833"/>
        </w:rPr>
        <w:t xml:space="preserve">Avant de concevoir un seul Objet Cognitif, il faut identifier les bons candidats. Tous les processus ne méritent pas une « </w:t>
      </w:r>
      <w:proofErr w:type="spellStart"/>
      <w:r>
        <w:rPr>
          <w:color w:val="1C2833"/>
        </w:rPr>
        <w:t>cognitification</w:t>
      </w:r>
      <w:proofErr w:type="spellEnd"/>
      <w:r>
        <w:rPr>
          <w:color w:val="1C2833"/>
        </w:rPr>
        <w:t xml:space="preserve"> » : certains relèvent d’une simple standardisation (un </w:t>
      </w:r>
      <w:proofErr w:type="spellStart"/>
      <w:r>
        <w:rPr>
          <w:color w:val="1C2833"/>
        </w:rPr>
        <w:t>template</w:t>
      </w:r>
      <w:proofErr w:type="spellEnd"/>
      <w:r>
        <w:rPr>
          <w:color w:val="1C2833"/>
        </w:rPr>
        <w:t>, une procédure BPM, une automatisation classique). La ligne de démarcation est claire : un OC est pertinent quand il y a un raisonnement expert à formaliser, pas juste une procédure à suivre.</w:t>
      </w:r>
    </w:p>
    <w:p w14:paraId="67C24A47" w14:textId="77777777" w:rsidR="00A61917" w:rsidRDefault="00000000">
      <w:pPr>
        <w:pStyle w:val="Titre3"/>
      </w:pPr>
      <w:bookmarkStart w:id="4" w:name="_Toc223038802"/>
      <w:r>
        <w:t>Grille des douleurs organisationnelles</w:t>
      </w:r>
      <w:bookmarkEnd w:id="4"/>
    </w:p>
    <w:p w14:paraId="23A870DE" w14:textId="77777777" w:rsidR="00A61917" w:rsidRDefault="00000000">
      <w:pPr>
        <w:spacing w:after="160" w:line="300" w:lineRule="auto"/>
        <w:jc w:val="both"/>
      </w:pPr>
      <w:r>
        <w:rPr>
          <w:color w:val="1C2833"/>
        </w:rPr>
        <w:t>Voici les six douleurs structurelles que l’on retrouve dans la quasi-totalité des organisations, avec pour chacune les indicateurs qui signalent qu’un OC est la bonne réponse.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A61917" w14:paraId="65060ED3"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FFEBDC8" w14:textId="77777777" w:rsidR="00A61917" w:rsidRDefault="00000000">
            <w:pPr>
              <w:jc w:val="center"/>
            </w:pPr>
            <w:r>
              <w:rPr>
                <w:b/>
                <w:bCs/>
                <w:color w:val="FFFFFF"/>
                <w:sz w:val="20"/>
                <w:szCs w:val="20"/>
              </w:rPr>
              <w:t>Douleur organisationnelle</w:t>
            </w:r>
          </w:p>
        </w:tc>
        <w:tc>
          <w:tcPr>
            <w:tcW w:w="326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AC35FEC" w14:textId="77777777" w:rsidR="00A61917" w:rsidRDefault="00000000">
            <w:pPr>
              <w:jc w:val="center"/>
            </w:pPr>
            <w:r>
              <w:rPr>
                <w:b/>
                <w:bCs/>
                <w:color w:val="FFFFFF"/>
                <w:sz w:val="20"/>
                <w:szCs w:val="20"/>
              </w:rPr>
              <w:t>Indicateurs de pertinence OC</w:t>
            </w:r>
          </w:p>
        </w:tc>
        <w:tc>
          <w:tcPr>
            <w:tcW w:w="326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443B866" w14:textId="77777777" w:rsidR="00A61917" w:rsidRDefault="00000000">
            <w:pPr>
              <w:jc w:val="center"/>
            </w:pPr>
            <w:r>
              <w:rPr>
                <w:b/>
                <w:bCs/>
                <w:color w:val="FFFFFF"/>
                <w:sz w:val="20"/>
                <w:szCs w:val="20"/>
              </w:rPr>
              <w:t>Alternative si non-OC</w:t>
            </w:r>
          </w:p>
        </w:tc>
      </w:tr>
      <w:tr w:rsidR="00A61917" w14:paraId="2FB45F03"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3473928A" w14:textId="77777777" w:rsidR="00A61917" w:rsidRDefault="00000000">
            <w:pPr>
              <w:spacing w:after="40"/>
            </w:pPr>
            <w:r>
              <w:rPr>
                <w:b/>
                <w:bCs/>
                <w:color w:val="1C2833"/>
              </w:rPr>
              <w:t>Dispersion de l’information</w:t>
            </w:r>
            <w:r>
              <w:rPr>
                <w:color w:val="1C2833"/>
              </w:rPr>
              <w:t xml:space="preserve"> et instabilité des référentiels</w:t>
            </w:r>
          </w:p>
        </w:tc>
        <w:tc>
          <w:tcPr>
            <w:tcW w:w="32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50C98276" w14:textId="77777777" w:rsidR="00A61917" w:rsidRDefault="00000000">
            <w:pPr>
              <w:spacing w:after="40"/>
            </w:pPr>
            <w:r>
              <w:rPr>
                <w:color w:val="1C2833"/>
                <w:sz w:val="20"/>
                <w:szCs w:val="20"/>
              </w:rPr>
              <w:t>Les collaborateurs passent du temps à chercher la « bonne version ». Les réponses dépendent de qui on interroge. Un raisonnement expert est nécessaire pour déterminer quelle source est fiable.</w:t>
            </w:r>
          </w:p>
        </w:tc>
        <w:tc>
          <w:tcPr>
            <w:tcW w:w="32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5D9EC9E6" w14:textId="77777777" w:rsidR="00A61917" w:rsidRDefault="00000000">
            <w:pPr>
              <w:spacing w:after="40"/>
            </w:pPr>
            <w:r>
              <w:rPr>
                <w:color w:val="1C2833"/>
                <w:sz w:val="20"/>
                <w:szCs w:val="20"/>
              </w:rPr>
              <w:t>Si c’est juste un problème de rangement : gestion documentaire classique (GED, wiki structuré).</w:t>
            </w:r>
          </w:p>
        </w:tc>
      </w:tr>
      <w:tr w:rsidR="00A61917" w14:paraId="12B23998"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5ADC37E" w14:textId="77777777" w:rsidR="00A61917" w:rsidRDefault="00000000">
            <w:pPr>
              <w:spacing w:after="40"/>
            </w:pPr>
            <w:r>
              <w:rPr>
                <w:b/>
                <w:bCs/>
                <w:color w:val="1C2833"/>
              </w:rPr>
              <w:t>Rework lié à la validation</w:t>
            </w:r>
            <w:r>
              <w:rPr>
                <w:color w:val="1C2833"/>
              </w:rPr>
              <w:t xml:space="preserve"> et au manque de standard</w:t>
            </w:r>
          </w:p>
        </w:tc>
        <w:tc>
          <w:tcPr>
            <w:tcW w:w="326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6318499" w14:textId="77777777" w:rsidR="00A61917" w:rsidRDefault="00000000">
            <w:pPr>
              <w:spacing w:after="40"/>
            </w:pPr>
            <w:r>
              <w:rPr>
                <w:color w:val="1C2833"/>
                <w:sz w:val="20"/>
                <w:szCs w:val="20"/>
              </w:rPr>
              <w:t>Les livrables repassent plusieurs fois en revue. Les critères de qualité varient selon le validateur. Il faut du jugement pour décider si c’est « assez bon ».</w:t>
            </w:r>
          </w:p>
        </w:tc>
        <w:tc>
          <w:tcPr>
            <w:tcW w:w="326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4B8DAE5" w14:textId="77777777" w:rsidR="00A61917" w:rsidRDefault="00000000">
            <w:pPr>
              <w:spacing w:after="40"/>
            </w:pPr>
            <w:r>
              <w:rPr>
                <w:color w:val="1C2833"/>
                <w:sz w:val="20"/>
                <w:szCs w:val="20"/>
              </w:rPr>
              <w:t>Si les critères sont simples et binaires : checklist ou règle métier automatisée.</w:t>
            </w:r>
          </w:p>
        </w:tc>
      </w:tr>
      <w:tr w:rsidR="00A61917" w14:paraId="4D328CB2"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5A582ABF" w14:textId="77777777" w:rsidR="00A61917" w:rsidRDefault="00000000">
            <w:pPr>
              <w:spacing w:after="40"/>
            </w:pPr>
            <w:r>
              <w:rPr>
                <w:b/>
                <w:bCs/>
                <w:color w:val="1C2833"/>
              </w:rPr>
              <w:t>Absence de traçabilité</w:t>
            </w:r>
            <w:r>
              <w:rPr>
                <w:color w:val="1C2833"/>
              </w:rPr>
              <w:t xml:space="preserve"> fiable</w:t>
            </w:r>
          </w:p>
        </w:tc>
        <w:tc>
          <w:tcPr>
            <w:tcW w:w="32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036CD9E0" w14:textId="77777777" w:rsidR="00A61917" w:rsidRDefault="00000000">
            <w:pPr>
              <w:spacing w:after="40"/>
            </w:pPr>
            <w:r>
              <w:rPr>
                <w:color w:val="1C2833"/>
                <w:sz w:val="20"/>
                <w:szCs w:val="20"/>
              </w:rPr>
              <w:t>On ne sait pas qui a décidé quoi, ni sur quelle base. Les audits sont douloureux. Le raisonnement derrière les décisions n’est pas documenté.</w:t>
            </w:r>
          </w:p>
        </w:tc>
        <w:tc>
          <w:tcPr>
            <w:tcW w:w="32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01EF1CDA" w14:textId="77777777" w:rsidR="00A61917" w:rsidRDefault="00000000">
            <w:pPr>
              <w:spacing w:after="40"/>
            </w:pPr>
            <w:r>
              <w:rPr>
                <w:color w:val="1C2833"/>
                <w:sz w:val="20"/>
                <w:szCs w:val="20"/>
              </w:rPr>
              <w:t>Si la traçabilité porte sur des données, pas sur des raisonnements : logs techniques, journaux d’audit.</w:t>
            </w:r>
          </w:p>
        </w:tc>
      </w:tr>
      <w:tr w:rsidR="00A61917" w14:paraId="394A6C84"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74C56AB" w14:textId="77777777" w:rsidR="00A61917" w:rsidRDefault="00000000">
            <w:pPr>
              <w:spacing w:after="40"/>
            </w:pPr>
            <w:r>
              <w:rPr>
                <w:b/>
                <w:bCs/>
                <w:color w:val="1C2833"/>
              </w:rPr>
              <w:t>Perte de savoir-faire expert</w:t>
            </w:r>
            <w:r>
              <w:rPr>
                <w:color w:val="1C2833"/>
              </w:rPr>
              <w:t xml:space="preserve"> (départs, turnover, silos)</w:t>
            </w:r>
          </w:p>
        </w:tc>
        <w:tc>
          <w:tcPr>
            <w:tcW w:w="326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6A5ABF9" w14:textId="77777777" w:rsidR="00A61917" w:rsidRDefault="00000000">
            <w:pPr>
              <w:spacing w:after="40"/>
            </w:pPr>
            <w:r>
              <w:rPr>
                <w:color w:val="1C2833"/>
                <w:sz w:val="20"/>
                <w:szCs w:val="20"/>
              </w:rPr>
              <w:t>Le départ d’une personne clé crée un trou de compétence visible. Le savoir est tacite (« je le sens »). La transmission par compagnonnage est trop lente.</w:t>
            </w:r>
          </w:p>
        </w:tc>
        <w:tc>
          <w:tcPr>
            <w:tcW w:w="326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CC33EBC" w14:textId="77777777" w:rsidR="00A61917" w:rsidRDefault="00000000">
            <w:pPr>
              <w:spacing w:after="40"/>
            </w:pPr>
            <w:r>
              <w:rPr>
                <w:color w:val="1C2833"/>
                <w:sz w:val="20"/>
                <w:szCs w:val="20"/>
              </w:rPr>
              <w:t>Si le savoir est déjà explicite et procédural : documentation classique, base de connaissances.</w:t>
            </w:r>
          </w:p>
        </w:tc>
      </w:tr>
      <w:tr w:rsidR="00A61917" w14:paraId="5552A66D"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7731E2F6" w14:textId="77777777" w:rsidR="00A61917" w:rsidRDefault="00000000">
            <w:pPr>
              <w:spacing w:after="40"/>
            </w:pPr>
            <w:r>
              <w:rPr>
                <w:b/>
                <w:bCs/>
                <w:color w:val="1C2833"/>
              </w:rPr>
              <w:t>Décisions critiques</w:t>
            </w:r>
            <w:r>
              <w:rPr>
                <w:color w:val="1C2833"/>
              </w:rPr>
              <w:t xml:space="preserve"> prises sans méthode formalisée</w:t>
            </w:r>
          </w:p>
        </w:tc>
        <w:tc>
          <w:tcPr>
            <w:tcW w:w="32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4FDCDD7E" w14:textId="77777777" w:rsidR="00A61917" w:rsidRDefault="00000000">
            <w:pPr>
              <w:spacing w:after="40"/>
            </w:pPr>
            <w:r>
              <w:rPr>
                <w:color w:val="1C2833"/>
                <w:sz w:val="20"/>
                <w:szCs w:val="20"/>
              </w:rPr>
              <w:t>Chaque décideur a sa propre grille d’analyse. Les critères de décision ne sont ni explicites ni partagés. Les biais individuels ne sont pas contrebalancés.</w:t>
            </w:r>
          </w:p>
        </w:tc>
        <w:tc>
          <w:tcPr>
            <w:tcW w:w="32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672A1ACA" w14:textId="77777777" w:rsidR="00A61917" w:rsidRDefault="00000000">
            <w:pPr>
              <w:spacing w:after="40"/>
            </w:pPr>
            <w:r>
              <w:rPr>
                <w:color w:val="1C2833"/>
                <w:sz w:val="20"/>
                <w:szCs w:val="20"/>
              </w:rPr>
              <w:t xml:space="preserve">Si la décision est simple (oui/non sur critères objectifs) : arbre de décision ou </w:t>
            </w:r>
            <w:proofErr w:type="spellStart"/>
            <w:r>
              <w:rPr>
                <w:color w:val="1C2833"/>
                <w:sz w:val="20"/>
                <w:szCs w:val="20"/>
              </w:rPr>
              <w:t>scoring</w:t>
            </w:r>
            <w:proofErr w:type="spellEnd"/>
            <w:r>
              <w:rPr>
                <w:color w:val="1C2833"/>
                <w:sz w:val="20"/>
                <w:szCs w:val="20"/>
              </w:rPr>
              <w:t xml:space="preserve"> automatisé.</w:t>
            </w:r>
          </w:p>
        </w:tc>
      </w:tr>
      <w:tr w:rsidR="00A61917" w14:paraId="7098E2A8"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EC784C7" w14:textId="77777777" w:rsidR="00A61917" w:rsidRDefault="00000000">
            <w:pPr>
              <w:spacing w:after="40"/>
            </w:pPr>
            <w:r>
              <w:rPr>
                <w:b/>
                <w:bCs/>
                <w:color w:val="1C2833"/>
              </w:rPr>
              <w:t>Usages IA non encadrés</w:t>
            </w:r>
            <w:r>
              <w:rPr>
                <w:color w:val="1C2833"/>
              </w:rPr>
              <w:t xml:space="preserve"> (</w:t>
            </w:r>
            <w:proofErr w:type="spellStart"/>
            <w:r>
              <w:rPr>
                <w:color w:val="1C2833"/>
              </w:rPr>
              <w:t>shadow</w:t>
            </w:r>
            <w:proofErr w:type="spellEnd"/>
            <w:r>
              <w:rPr>
                <w:color w:val="1C2833"/>
              </w:rPr>
              <w:t xml:space="preserve"> AI)</w:t>
            </w:r>
          </w:p>
        </w:tc>
        <w:tc>
          <w:tcPr>
            <w:tcW w:w="326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73DB6B0" w14:textId="77777777" w:rsidR="00A61917" w:rsidRDefault="00000000">
            <w:pPr>
              <w:spacing w:after="40"/>
            </w:pPr>
            <w:r>
              <w:rPr>
                <w:color w:val="1C2833"/>
                <w:sz w:val="20"/>
                <w:szCs w:val="20"/>
              </w:rPr>
              <w:t xml:space="preserve">Les collaborateurs utilisent </w:t>
            </w:r>
            <w:proofErr w:type="spellStart"/>
            <w:r>
              <w:rPr>
                <w:color w:val="1C2833"/>
                <w:sz w:val="20"/>
                <w:szCs w:val="20"/>
              </w:rPr>
              <w:t>ChatGPT</w:t>
            </w:r>
            <w:proofErr w:type="spellEnd"/>
            <w:r>
              <w:rPr>
                <w:color w:val="1C2833"/>
                <w:sz w:val="20"/>
                <w:szCs w:val="20"/>
              </w:rPr>
              <w:t xml:space="preserve"> ou équivalent en bricolant des prompts personnels. Aucun standard de qualité. Risques de fuite de données ou de production de faux crédible non détecté.</w:t>
            </w:r>
          </w:p>
        </w:tc>
        <w:tc>
          <w:tcPr>
            <w:tcW w:w="326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596431A" w14:textId="77777777" w:rsidR="00A61917" w:rsidRDefault="00000000">
            <w:pPr>
              <w:spacing w:after="40"/>
            </w:pPr>
            <w:r>
              <w:rPr>
                <w:color w:val="1C2833"/>
                <w:sz w:val="20"/>
                <w:szCs w:val="20"/>
              </w:rPr>
              <w:t>Si l’usage est bénin (reformulation, synthèse simple) : charte d’usage IA et bonnes pratiques.</w:t>
            </w:r>
          </w:p>
        </w:tc>
      </w:tr>
    </w:tbl>
    <w:p w14:paraId="343C394C" w14:textId="77777777" w:rsidR="00A61917" w:rsidRDefault="00A61917">
      <w:pPr>
        <w:spacing w:after="200"/>
      </w:pPr>
    </w:p>
    <w:p w14:paraId="056EF29A" w14:textId="77777777" w:rsidR="00A61917" w:rsidRDefault="00000000">
      <w:pPr>
        <w:pStyle w:val="Titre2"/>
      </w:pPr>
      <w:bookmarkStart w:id="5" w:name="_Toc223038803"/>
      <w:r>
        <w:t>1.2 Matrice de priorisation</w:t>
      </w:r>
      <w:bookmarkEnd w:id="5"/>
    </w:p>
    <w:p w14:paraId="0C5DB732" w14:textId="77777777" w:rsidR="00A61917" w:rsidRDefault="00000000">
      <w:pPr>
        <w:spacing w:after="160" w:line="300" w:lineRule="auto"/>
        <w:jc w:val="both"/>
      </w:pPr>
      <w:r>
        <w:rPr>
          <w:color w:val="1C2833"/>
        </w:rPr>
        <w:t>Une fois les processus candidats identifiés, il faut les prioriser. La matrice croise trois axes : la valeur du raisonnement à encapsuler, la faisabilité de l’extraction du savoir expert, et le niveau de risque si le raisonnement est mal exécuté.</w:t>
      </w:r>
    </w:p>
    <w:p w14:paraId="0249A3F4" w14:textId="77777777" w:rsidR="00A61917" w:rsidRDefault="00000000">
      <w:pPr>
        <w:pStyle w:val="Titre3"/>
      </w:pPr>
      <w:bookmarkStart w:id="6" w:name="_Toc223038804"/>
      <w:r>
        <w:t>Les trois axes d’évaluation</w:t>
      </w:r>
      <w:bookmarkEnd w:id="6"/>
    </w:p>
    <w:p w14:paraId="5E237040" w14:textId="77777777" w:rsidR="00A61917" w:rsidRDefault="00000000">
      <w:pPr>
        <w:spacing w:after="160" w:line="300" w:lineRule="auto"/>
        <w:jc w:val="both"/>
      </w:pPr>
      <w:r>
        <w:rPr>
          <w:b/>
          <w:bCs/>
          <w:color w:val="1C2833"/>
        </w:rPr>
        <w:t xml:space="preserve">Axe 1 — Valeur du raisonnement encapsulé. </w:t>
      </w:r>
      <w:r>
        <w:rPr>
          <w:color w:val="1C2833"/>
        </w:rPr>
        <w:t>Trois critères : criticité business (quel impact si le raisonnement est mal exécuté ?), fréquence d’usage (combien de fois par semaine ce raisonnement est-il mobilisé ?), et portée (combien de personnes sont impactées par la qualité de ce raisonnement ?). Chaque critère est noté de 1 à 5. Le score de valeur est la moyenne des trois.</w:t>
      </w:r>
    </w:p>
    <w:p w14:paraId="10963254" w14:textId="77777777" w:rsidR="00A61917" w:rsidRDefault="00000000">
      <w:pPr>
        <w:spacing w:after="160" w:line="300" w:lineRule="auto"/>
        <w:jc w:val="both"/>
      </w:pPr>
      <w:r>
        <w:rPr>
          <w:b/>
          <w:bCs/>
          <w:color w:val="1C2833"/>
        </w:rPr>
        <w:t xml:space="preserve">Axe 2 — Faisabilité de l’extraction. </w:t>
      </w:r>
      <w:r>
        <w:rPr>
          <w:color w:val="1C2833"/>
        </w:rPr>
        <w:t>Quatre questions clés : l’expert est-il identifié et disponible ? Le savoir tacite est-il accessible (l’expert peut-il en parler, même imparfaitement) ? Les cas limites sont-ils identifiables ? Existe-t-il des traces documentaires (mails, rapports, comptes-rendus) exploitables ? Score de 1 à 5.</w:t>
      </w:r>
    </w:p>
    <w:p w14:paraId="6D157A48" w14:textId="77777777" w:rsidR="00A61917" w:rsidRDefault="00000000">
      <w:pPr>
        <w:spacing w:after="160" w:line="300" w:lineRule="auto"/>
        <w:jc w:val="both"/>
      </w:pPr>
      <w:r>
        <w:rPr>
          <w:b/>
          <w:bCs/>
          <w:color w:val="1C2833"/>
        </w:rPr>
        <w:t xml:space="preserve">Axe 3 — Niveau de risque. </w:t>
      </w:r>
      <w:r>
        <w:rPr>
          <w:color w:val="1C2833"/>
        </w:rPr>
        <w:t>Quatre dimensions d’impact : financier (perte directe), réglementaire (non-conformité, sanction), humain (sécurité, bien-être), réputationnel (image, confiance). Le score de risque est le maximum des quatre dimensions (logique du maillon faible).</w:t>
      </w:r>
    </w:p>
    <w:p w14:paraId="6C011E14" w14:textId="77777777" w:rsidR="00A61917" w:rsidRDefault="00000000">
      <w:pPr>
        <w:pStyle w:val="Titre3"/>
      </w:pPr>
      <w:bookmarkStart w:id="7" w:name="_Toc223038805"/>
      <w:r>
        <w:t>Classification en quatre quadrants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7"/>
        <w:gridCol w:w="2256"/>
      </w:tblGrid>
      <w:tr w:rsidR="00A61917" w14:paraId="62EF4043" w14:textId="77777777">
        <w:tblPrEx>
          <w:tblCellMar>
            <w:top w:w="0" w:type="dxa"/>
            <w:bottom w:w="0" w:type="dxa"/>
          </w:tblCellMar>
        </w:tblPrEx>
        <w:tc>
          <w:tcPr>
            <w:tcW w:w="225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1EBE446" w14:textId="77777777" w:rsidR="00A61917" w:rsidRDefault="00000000">
            <w:pPr>
              <w:jc w:val="center"/>
            </w:pPr>
            <w:r>
              <w:rPr>
                <w:b/>
                <w:bCs/>
                <w:color w:val="FFFFFF"/>
                <w:sz w:val="20"/>
                <w:szCs w:val="20"/>
              </w:rPr>
              <w:t>Quadrant</w:t>
            </w:r>
          </w:p>
        </w:tc>
        <w:tc>
          <w:tcPr>
            <w:tcW w:w="2257"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1A10069" w14:textId="77777777" w:rsidR="00A61917" w:rsidRDefault="00000000">
            <w:pPr>
              <w:jc w:val="center"/>
            </w:pPr>
            <w:r>
              <w:rPr>
                <w:b/>
                <w:bCs/>
                <w:color w:val="FFFFFF"/>
                <w:sz w:val="20"/>
                <w:szCs w:val="20"/>
              </w:rPr>
              <w:t>Profil</w:t>
            </w:r>
          </w:p>
        </w:tc>
        <w:tc>
          <w:tcPr>
            <w:tcW w:w="2257"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89991B7" w14:textId="77777777" w:rsidR="00A61917" w:rsidRDefault="00000000">
            <w:pPr>
              <w:jc w:val="center"/>
            </w:pPr>
            <w:r>
              <w:rPr>
                <w:b/>
                <w:bCs/>
                <w:color w:val="FFFFFF"/>
                <w:sz w:val="20"/>
                <w:szCs w:val="20"/>
              </w:rPr>
              <w:t>Recommandation</w:t>
            </w:r>
          </w:p>
        </w:tc>
        <w:tc>
          <w:tcPr>
            <w:tcW w:w="225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677F498" w14:textId="77777777" w:rsidR="00A61917" w:rsidRDefault="00000000">
            <w:pPr>
              <w:jc w:val="center"/>
            </w:pPr>
            <w:r>
              <w:rPr>
                <w:b/>
                <w:bCs/>
                <w:color w:val="FFFFFF"/>
                <w:sz w:val="20"/>
                <w:szCs w:val="20"/>
              </w:rPr>
              <w:t>Horizon</w:t>
            </w:r>
          </w:p>
        </w:tc>
      </w:tr>
      <w:tr w:rsidR="00A61917" w14:paraId="51372DF4" w14:textId="77777777">
        <w:tblPrEx>
          <w:tblCellMar>
            <w:top w:w="0" w:type="dxa"/>
            <w:bottom w:w="0" w:type="dxa"/>
          </w:tblCellMar>
        </w:tblPrEx>
        <w:tc>
          <w:tcPr>
            <w:tcW w:w="2256"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vAlign w:val="center"/>
          </w:tcPr>
          <w:p w14:paraId="0F812A67" w14:textId="77777777" w:rsidR="00A61917" w:rsidRDefault="00000000">
            <w:pPr>
              <w:spacing w:after="40"/>
            </w:pPr>
            <w:r>
              <w:rPr>
                <w:b/>
                <w:bCs/>
                <w:color w:val="1C2833"/>
              </w:rPr>
              <w:t>Q1 — Lancer</w:t>
            </w:r>
          </w:p>
        </w:tc>
        <w:tc>
          <w:tcPr>
            <w:tcW w:w="2257"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vAlign w:val="center"/>
          </w:tcPr>
          <w:p w14:paraId="69445FA6" w14:textId="77777777" w:rsidR="00A61917" w:rsidRDefault="00000000">
            <w:pPr>
              <w:spacing w:after="40"/>
            </w:pPr>
            <w:r>
              <w:rPr>
                <w:color w:val="1C2833"/>
                <w:sz w:val="20"/>
                <w:szCs w:val="20"/>
              </w:rPr>
              <w:t>Valeur haute + Faisabilité haute (risque variable)</w:t>
            </w:r>
          </w:p>
        </w:tc>
        <w:tc>
          <w:tcPr>
            <w:tcW w:w="2257"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vAlign w:val="center"/>
          </w:tcPr>
          <w:p w14:paraId="7F163FEA" w14:textId="77777777" w:rsidR="00A61917" w:rsidRDefault="00000000">
            <w:pPr>
              <w:spacing w:after="40"/>
            </w:pPr>
            <w:r>
              <w:rPr>
                <w:color w:val="1C2833"/>
                <w:sz w:val="20"/>
                <w:szCs w:val="20"/>
              </w:rPr>
              <w:t>Démarrer immédiatement. Ces OC produisent des résultats visibles rapidement et mobilisent des experts disponibles.</w:t>
            </w:r>
          </w:p>
        </w:tc>
        <w:tc>
          <w:tcPr>
            <w:tcW w:w="2256"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vAlign w:val="center"/>
          </w:tcPr>
          <w:p w14:paraId="139EE155" w14:textId="77777777" w:rsidR="00A61917" w:rsidRDefault="00000000">
            <w:pPr>
              <w:spacing w:after="40"/>
            </w:pPr>
            <w:r>
              <w:rPr>
                <w:color w:val="1C2833"/>
                <w:sz w:val="20"/>
                <w:szCs w:val="20"/>
              </w:rPr>
              <w:t>0 à 3 mois</w:t>
            </w:r>
          </w:p>
        </w:tc>
      </w:tr>
      <w:tr w:rsidR="00A61917" w14:paraId="44CBDD81" w14:textId="77777777">
        <w:tblPrEx>
          <w:tblCellMar>
            <w:top w:w="0" w:type="dxa"/>
            <w:bottom w:w="0" w:type="dxa"/>
          </w:tblCellMar>
        </w:tblPrEx>
        <w:tc>
          <w:tcPr>
            <w:tcW w:w="2256"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4CEACCB2" w14:textId="77777777" w:rsidR="00A61917" w:rsidRDefault="00000000">
            <w:pPr>
              <w:spacing w:after="40"/>
            </w:pPr>
            <w:r>
              <w:rPr>
                <w:b/>
                <w:bCs/>
                <w:color w:val="1C2833"/>
              </w:rPr>
              <w:t>Q2 — Planifier</w:t>
            </w:r>
          </w:p>
        </w:tc>
        <w:tc>
          <w:tcPr>
            <w:tcW w:w="2257"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66BBA772" w14:textId="77777777" w:rsidR="00A61917" w:rsidRDefault="00000000">
            <w:pPr>
              <w:spacing w:after="40"/>
            </w:pPr>
            <w:r>
              <w:rPr>
                <w:color w:val="1C2833"/>
                <w:sz w:val="20"/>
                <w:szCs w:val="20"/>
              </w:rPr>
              <w:t>Valeur haute + Faisabilité basse</w:t>
            </w:r>
          </w:p>
        </w:tc>
        <w:tc>
          <w:tcPr>
            <w:tcW w:w="2257"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4813B800" w14:textId="77777777" w:rsidR="00A61917" w:rsidRDefault="00000000">
            <w:pPr>
              <w:spacing w:after="40"/>
            </w:pPr>
            <w:r>
              <w:rPr>
                <w:color w:val="1C2833"/>
                <w:sz w:val="20"/>
                <w:szCs w:val="20"/>
              </w:rPr>
              <w:t>Investir dans la préparation : libérer du temps expert, documenter les cas existants, constituer un corpus avant de lancer.</w:t>
            </w:r>
          </w:p>
        </w:tc>
        <w:tc>
          <w:tcPr>
            <w:tcW w:w="2256"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3786ADF2" w14:textId="77777777" w:rsidR="00A61917" w:rsidRDefault="00000000">
            <w:pPr>
              <w:spacing w:after="40"/>
            </w:pPr>
            <w:r>
              <w:rPr>
                <w:color w:val="1C2833"/>
                <w:sz w:val="20"/>
                <w:szCs w:val="20"/>
              </w:rPr>
              <w:t>3 à 12 mois</w:t>
            </w:r>
          </w:p>
        </w:tc>
      </w:tr>
      <w:tr w:rsidR="00A61917" w14:paraId="40F50E36" w14:textId="77777777">
        <w:tblPrEx>
          <w:tblCellMar>
            <w:top w:w="0" w:type="dxa"/>
            <w:bottom w:w="0" w:type="dxa"/>
          </w:tblCellMar>
        </w:tblPrEx>
        <w:tc>
          <w:tcPr>
            <w:tcW w:w="2256" w:type="dxa"/>
            <w:tcBorders>
              <w:top w:val="single" w:sz="1" w:space="0" w:color="BDC3C7"/>
              <w:left w:val="single" w:sz="1" w:space="0" w:color="BDC3C7"/>
              <w:bottom w:val="single" w:sz="1" w:space="0" w:color="BDC3C7"/>
              <w:right w:val="single" w:sz="1" w:space="0" w:color="BDC3C7"/>
            </w:tcBorders>
            <w:shd w:val="clear" w:color="auto" w:fill="FEF5E7"/>
            <w:tcMar>
              <w:top w:w="80" w:type="dxa"/>
              <w:left w:w="120" w:type="dxa"/>
              <w:bottom w:w="80" w:type="dxa"/>
              <w:right w:w="120" w:type="dxa"/>
            </w:tcMar>
            <w:vAlign w:val="center"/>
          </w:tcPr>
          <w:p w14:paraId="5BFD675E" w14:textId="77777777" w:rsidR="00A61917" w:rsidRDefault="00000000">
            <w:pPr>
              <w:spacing w:after="40"/>
            </w:pPr>
            <w:r>
              <w:rPr>
                <w:b/>
                <w:bCs/>
                <w:color w:val="1C2833"/>
              </w:rPr>
              <w:t>Q3 — Explorer</w:t>
            </w:r>
          </w:p>
        </w:tc>
        <w:tc>
          <w:tcPr>
            <w:tcW w:w="2257" w:type="dxa"/>
            <w:tcBorders>
              <w:top w:val="single" w:sz="1" w:space="0" w:color="BDC3C7"/>
              <w:left w:val="single" w:sz="1" w:space="0" w:color="BDC3C7"/>
              <w:bottom w:val="single" w:sz="1" w:space="0" w:color="BDC3C7"/>
              <w:right w:val="single" w:sz="1" w:space="0" w:color="BDC3C7"/>
            </w:tcBorders>
            <w:shd w:val="clear" w:color="auto" w:fill="FEF5E7"/>
            <w:tcMar>
              <w:top w:w="80" w:type="dxa"/>
              <w:left w:w="120" w:type="dxa"/>
              <w:bottom w:w="80" w:type="dxa"/>
              <w:right w:w="120" w:type="dxa"/>
            </w:tcMar>
            <w:vAlign w:val="center"/>
          </w:tcPr>
          <w:p w14:paraId="23736242" w14:textId="77777777" w:rsidR="00A61917" w:rsidRDefault="00000000">
            <w:pPr>
              <w:spacing w:after="40"/>
            </w:pPr>
            <w:r>
              <w:rPr>
                <w:color w:val="1C2833"/>
                <w:sz w:val="20"/>
                <w:szCs w:val="20"/>
              </w:rPr>
              <w:t>Valeur moyenne + Faisabilité haute</w:t>
            </w:r>
          </w:p>
        </w:tc>
        <w:tc>
          <w:tcPr>
            <w:tcW w:w="2257" w:type="dxa"/>
            <w:tcBorders>
              <w:top w:val="single" w:sz="1" w:space="0" w:color="BDC3C7"/>
              <w:left w:val="single" w:sz="1" w:space="0" w:color="BDC3C7"/>
              <w:bottom w:val="single" w:sz="1" w:space="0" w:color="BDC3C7"/>
              <w:right w:val="single" w:sz="1" w:space="0" w:color="BDC3C7"/>
            </w:tcBorders>
            <w:shd w:val="clear" w:color="auto" w:fill="FEF5E7"/>
            <w:tcMar>
              <w:top w:w="80" w:type="dxa"/>
              <w:left w:w="120" w:type="dxa"/>
              <w:bottom w:w="80" w:type="dxa"/>
              <w:right w:w="120" w:type="dxa"/>
            </w:tcMar>
            <w:vAlign w:val="center"/>
          </w:tcPr>
          <w:p w14:paraId="1C8D410A" w14:textId="77777777" w:rsidR="00A61917" w:rsidRDefault="00000000">
            <w:pPr>
              <w:spacing w:after="40"/>
            </w:pPr>
            <w:r>
              <w:rPr>
                <w:color w:val="1C2833"/>
                <w:sz w:val="20"/>
                <w:szCs w:val="20"/>
              </w:rPr>
              <w:t>Expérimenter à petite échelle. Bon terrain d’apprentissage pour les équipes, mais ne pas surinvestir.</w:t>
            </w:r>
          </w:p>
        </w:tc>
        <w:tc>
          <w:tcPr>
            <w:tcW w:w="2256" w:type="dxa"/>
            <w:tcBorders>
              <w:top w:val="single" w:sz="1" w:space="0" w:color="BDC3C7"/>
              <w:left w:val="single" w:sz="1" w:space="0" w:color="BDC3C7"/>
              <w:bottom w:val="single" w:sz="1" w:space="0" w:color="BDC3C7"/>
              <w:right w:val="single" w:sz="1" w:space="0" w:color="BDC3C7"/>
            </w:tcBorders>
            <w:shd w:val="clear" w:color="auto" w:fill="FEF5E7"/>
            <w:tcMar>
              <w:top w:w="80" w:type="dxa"/>
              <w:left w:w="120" w:type="dxa"/>
              <w:bottom w:w="80" w:type="dxa"/>
              <w:right w:w="120" w:type="dxa"/>
            </w:tcMar>
            <w:vAlign w:val="center"/>
          </w:tcPr>
          <w:p w14:paraId="7204E5E9" w14:textId="77777777" w:rsidR="00A61917" w:rsidRDefault="00000000">
            <w:pPr>
              <w:spacing w:after="40"/>
            </w:pPr>
            <w:r>
              <w:rPr>
                <w:color w:val="1C2833"/>
                <w:sz w:val="20"/>
                <w:szCs w:val="20"/>
              </w:rPr>
              <w:t>Opportuniste</w:t>
            </w:r>
          </w:p>
        </w:tc>
      </w:tr>
      <w:tr w:rsidR="00A61917" w14:paraId="15255F4D" w14:textId="77777777">
        <w:tblPrEx>
          <w:tblCellMar>
            <w:top w:w="0" w:type="dxa"/>
            <w:bottom w:w="0" w:type="dxa"/>
          </w:tblCellMar>
        </w:tblPrEx>
        <w:tc>
          <w:tcPr>
            <w:tcW w:w="2256"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vAlign w:val="center"/>
          </w:tcPr>
          <w:p w14:paraId="142EFD1E" w14:textId="77777777" w:rsidR="00A61917" w:rsidRDefault="00000000">
            <w:pPr>
              <w:spacing w:after="40"/>
            </w:pPr>
            <w:r>
              <w:rPr>
                <w:b/>
                <w:bCs/>
                <w:color w:val="1C2833"/>
              </w:rPr>
              <w:t>Q4 — Renoncer</w:t>
            </w:r>
          </w:p>
        </w:tc>
        <w:tc>
          <w:tcPr>
            <w:tcW w:w="2257"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vAlign w:val="center"/>
          </w:tcPr>
          <w:p w14:paraId="69B13705" w14:textId="77777777" w:rsidR="00A61917" w:rsidRDefault="00000000">
            <w:pPr>
              <w:spacing w:after="40"/>
            </w:pPr>
            <w:r>
              <w:rPr>
                <w:color w:val="1C2833"/>
                <w:sz w:val="20"/>
                <w:szCs w:val="20"/>
              </w:rPr>
              <w:t>Valeur basse ou Faisabilité très basse</w:t>
            </w:r>
          </w:p>
        </w:tc>
        <w:tc>
          <w:tcPr>
            <w:tcW w:w="2257"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vAlign w:val="center"/>
          </w:tcPr>
          <w:p w14:paraId="4E98B3D3" w14:textId="77777777" w:rsidR="00A61917" w:rsidRDefault="00000000">
            <w:pPr>
              <w:spacing w:after="40"/>
            </w:pPr>
            <w:r>
              <w:rPr>
                <w:color w:val="1C2833"/>
                <w:sz w:val="20"/>
                <w:szCs w:val="20"/>
              </w:rPr>
              <w:t xml:space="preserve">Ne pas engager de ressources. Une procédure standard ou un </w:t>
            </w:r>
            <w:proofErr w:type="spellStart"/>
            <w:r>
              <w:rPr>
                <w:color w:val="1C2833"/>
                <w:sz w:val="20"/>
                <w:szCs w:val="20"/>
              </w:rPr>
              <w:t>template</w:t>
            </w:r>
            <w:proofErr w:type="spellEnd"/>
            <w:r>
              <w:rPr>
                <w:color w:val="1C2833"/>
                <w:sz w:val="20"/>
                <w:szCs w:val="20"/>
              </w:rPr>
              <w:t xml:space="preserve"> suffit. Réévaluer dans 12 mois.</w:t>
            </w:r>
          </w:p>
        </w:tc>
        <w:tc>
          <w:tcPr>
            <w:tcW w:w="2256"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vAlign w:val="center"/>
          </w:tcPr>
          <w:p w14:paraId="53378CE7" w14:textId="77777777" w:rsidR="00A61917" w:rsidRDefault="00000000">
            <w:pPr>
              <w:spacing w:after="40"/>
            </w:pPr>
            <w:r>
              <w:rPr>
                <w:color w:val="1C2833"/>
                <w:sz w:val="20"/>
                <w:szCs w:val="20"/>
              </w:rPr>
              <w:t>Reporté</w:t>
            </w:r>
          </w:p>
        </w:tc>
      </w:tr>
    </w:tbl>
    <w:p w14:paraId="55C5B73B" w14:textId="77777777" w:rsidR="00A61917" w:rsidRDefault="00A61917">
      <w:pPr>
        <w:spacing w:after="200"/>
      </w:pPr>
    </w:p>
    <w:p w14:paraId="1D133D5C" w14:textId="77777777" w:rsidR="00A61917" w:rsidRDefault="00000000">
      <w:pPr>
        <w:pBdr>
          <w:left w:val="single" w:sz="6" w:space="0" w:color="E67E22"/>
        </w:pBdr>
        <w:spacing w:before="160" w:after="200"/>
        <w:ind w:left="360" w:right="360"/>
      </w:pPr>
      <w:r>
        <w:rPr>
          <w:i/>
          <w:iCs/>
          <w:color w:val="566573"/>
        </w:rPr>
        <w:t>Règle pratique : commencez toujours par un OC du quadrant Q1. Le premier OC déployé avec succès est votre meilleur argument pour financer les suivants.</w:t>
      </w:r>
    </w:p>
    <w:p w14:paraId="0625AD9E" w14:textId="77777777" w:rsidR="00A61917" w:rsidRDefault="00000000">
      <w:pPr>
        <w:pStyle w:val="Titre2"/>
      </w:pPr>
      <w:bookmarkStart w:id="8" w:name="_Toc223038806"/>
      <w:r>
        <w:t>1.3 Alignement avec la trajectoire de transformation</w:t>
      </w:r>
      <w:bookmarkEnd w:id="8"/>
    </w:p>
    <w:p w14:paraId="6E824CE7" w14:textId="77777777" w:rsidR="00A61917" w:rsidRDefault="00000000">
      <w:pPr>
        <w:spacing w:after="160" w:line="300" w:lineRule="auto"/>
        <w:jc w:val="both"/>
      </w:pPr>
      <w:r>
        <w:rPr>
          <w:color w:val="1C2833"/>
        </w:rPr>
        <w:t>Le déploiement des OC doit s’inscrire dans une trajectoire réaliste. Trois horizons permettent de structurer la montée en puissance sans effet tunnel.</w:t>
      </w:r>
    </w:p>
    <w:p w14:paraId="17CD3733" w14:textId="77777777" w:rsidR="00A61917" w:rsidRDefault="00000000">
      <w:pPr>
        <w:pStyle w:val="Titre3"/>
      </w:pPr>
      <w:bookmarkStart w:id="9" w:name="_Toc223038807"/>
      <w:r>
        <w:t>Horizon 1 — Gains rapides (0 à 3 mois)</w:t>
      </w:r>
      <w:bookmarkEnd w:id="9"/>
    </w:p>
    <w:p w14:paraId="36CB6DFA" w14:textId="77777777" w:rsidR="00A61917" w:rsidRDefault="00000000">
      <w:pPr>
        <w:spacing w:after="160" w:line="300" w:lineRule="auto"/>
        <w:jc w:val="both"/>
      </w:pPr>
      <w:r>
        <w:rPr>
          <w:b/>
          <w:bCs/>
          <w:color w:val="1C2833"/>
        </w:rPr>
        <w:t xml:space="preserve">Objectif : </w:t>
      </w:r>
      <w:r>
        <w:rPr>
          <w:color w:val="1C2833"/>
        </w:rPr>
        <w:t xml:space="preserve">prouver la valeur du concept sur des processus visibles et fréquents. Les OC de l’horizon 1 ciblent la standardisation des raisonnements récurrents, la réduction du bruit informationnel, et les premiers flux bout-en-bout avec garde-fous. </w:t>
      </w:r>
      <w:r>
        <w:rPr>
          <w:b/>
          <w:bCs/>
          <w:color w:val="1C2833"/>
        </w:rPr>
        <w:t xml:space="preserve">Exemples typiques : </w:t>
      </w:r>
      <w:r>
        <w:rPr>
          <w:color w:val="1C2833"/>
        </w:rPr>
        <w:t>compte-rendu de réunion structuré, qualification initiale d’une demande client, grille d’évaluation d’un CV pour un poste récurrent, note de synthèse budgétaire. Ces OC fonctionnent en Mode 1 (assistant humain) ou Mode 2 (copilote IA), sans intégration technique lourde.</w:t>
      </w:r>
    </w:p>
    <w:p w14:paraId="3546F07B" w14:textId="77777777" w:rsidR="00A61917" w:rsidRDefault="00000000">
      <w:pPr>
        <w:pStyle w:val="Titre3"/>
      </w:pPr>
      <w:bookmarkStart w:id="10" w:name="_Toc223038808"/>
      <w:r>
        <w:t>Horizon 2 — OC structurants (3 à 12 mois)</w:t>
      </w:r>
      <w:bookmarkEnd w:id="10"/>
    </w:p>
    <w:p w14:paraId="7D845E4B" w14:textId="77777777" w:rsidR="00A61917" w:rsidRDefault="00000000">
      <w:pPr>
        <w:spacing w:after="160" w:line="300" w:lineRule="auto"/>
        <w:jc w:val="both"/>
      </w:pPr>
      <w:r>
        <w:rPr>
          <w:b/>
          <w:bCs/>
          <w:color w:val="1C2833"/>
        </w:rPr>
        <w:t xml:space="preserve">Objectif : </w:t>
      </w:r>
      <w:r>
        <w:rPr>
          <w:color w:val="1C2833"/>
        </w:rPr>
        <w:t xml:space="preserve">couvrir les activités cœur de métier avec des OC reliés aux processus BPM existants et aux données de référence. Les OC de l’horizon 2 formalisent les raisonnements qui nécessitent une élicitation approfondie (savoir tacite, cas limites complexes). Ils s’intègrent dans les workflows existants et alimentent la montée en compétences des équipes. </w:t>
      </w:r>
      <w:r>
        <w:rPr>
          <w:b/>
          <w:bCs/>
          <w:color w:val="1C2833"/>
        </w:rPr>
        <w:t xml:space="preserve">Exemples typiques : </w:t>
      </w:r>
      <w:r>
        <w:rPr>
          <w:color w:val="1C2833"/>
        </w:rPr>
        <w:t xml:space="preserve">analyse de risque fournisseur, diagnostic technique de niveau 2, instruction d’un dossier réglementaire, arbitrage budgétaire </w:t>
      </w:r>
      <w:proofErr w:type="spellStart"/>
      <w:r>
        <w:rPr>
          <w:color w:val="1C2833"/>
        </w:rPr>
        <w:t>multi-critères</w:t>
      </w:r>
      <w:proofErr w:type="spellEnd"/>
      <w:r>
        <w:rPr>
          <w:color w:val="1C2833"/>
        </w:rPr>
        <w:t>.</w:t>
      </w:r>
    </w:p>
    <w:p w14:paraId="5A226B9D" w14:textId="77777777" w:rsidR="00A61917" w:rsidRDefault="00000000">
      <w:pPr>
        <w:pStyle w:val="Titre3"/>
      </w:pPr>
      <w:bookmarkStart w:id="11" w:name="_Toc223038809"/>
      <w:r>
        <w:t>Horizon 3 — Organisation composable (12 à 24 mois)</w:t>
      </w:r>
      <w:bookmarkEnd w:id="11"/>
    </w:p>
    <w:p w14:paraId="7587565A" w14:textId="77777777" w:rsidR="00A61917" w:rsidRDefault="00000000">
      <w:pPr>
        <w:spacing w:after="160" w:line="300" w:lineRule="auto"/>
        <w:jc w:val="both"/>
      </w:pPr>
      <w:r>
        <w:rPr>
          <w:b/>
          <w:bCs/>
          <w:color w:val="1C2833"/>
        </w:rPr>
        <w:t xml:space="preserve">Objectif : </w:t>
      </w:r>
      <w:r>
        <w:rPr>
          <w:color w:val="1C2833"/>
        </w:rPr>
        <w:t xml:space="preserve">construire un écosystème d’OC interconnectés qui constitue la « mémoire active » de l’organisation. Les OC se composent entre eux (la sortie de l’un alimente l’entrée d’un autre), les automatisations sont profondes avec monitoring continu, et les assistants IA sont fiables car alimentés par des sources gouvernées. </w:t>
      </w:r>
      <w:r>
        <w:rPr>
          <w:b/>
          <w:bCs/>
          <w:color w:val="1C2833"/>
        </w:rPr>
        <w:t xml:space="preserve">Exemples typiques : </w:t>
      </w:r>
      <w:r>
        <w:rPr>
          <w:color w:val="1C2833"/>
        </w:rPr>
        <w:t xml:space="preserve">chaîne complète de traitement d’un incident client (détection → qualification → résolution → capitalisation), pilotage stratégique alimenté par des OC de synthèse, </w:t>
      </w:r>
      <w:proofErr w:type="spellStart"/>
      <w:r>
        <w:rPr>
          <w:color w:val="1C2833"/>
        </w:rPr>
        <w:t>onboarding</w:t>
      </w:r>
      <w:proofErr w:type="spellEnd"/>
      <w:r>
        <w:rPr>
          <w:color w:val="1C2833"/>
        </w:rPr>
        <w:t xml:space="preserve"> intégral d’un collaborateur.</w:t>
      </w:r>
    </w:p>
    <w:p w14:paraId="64089F3F" w14:textId="77777777" w:rsidR="00A61917" w:rsidRDefault="00000000">
      <w:r>
        <w:br w:type="page"/>
      </w:r>
    </w:p>
    <w:p w14:paraId="39D22B19" w14:textId="77777777" w:rsidR="00A61917" w:rsidRDefault="00000000">
      <w:pPr>
        <w:pStyle w:val="Titre1"/>
      </w:pPr>
      <w:bookmarkStart w:id="12" w:name="_Toc223038810"/>
      <w:r>
        <w:t>Partie 2 — Conception d’un Objet Cognitif</w:t>
      </w:r>
      <w:bookmarkEnd w:id="12"/>
    </w:p>
    <w:p w14:paraId="4ECC378C" w14:textId="77777777" w:rsidR="00A61917" w:rsidRDefault="00000000">
      <w:pPr>
        <w:spacing w:after="160" w:line="300" w:lineRule="auto"/>
        <w:jc w:val="both"/>
      </w:pPr>
      <w:r>
        <w:rPr>
          <w:i/>
          <w:iCs/>
          <w:color w:val="566573"/>
        </w:rPr>
        <w:t>« Comment en fabriquer un qui tienne la route »</w:t>
      </w:r>
    </w:p>
    <w:p w14:paraId="0B7BCB0E" w14:textId="77777777" w:rsidR="00A61917" w:rsidRDefault="00000000">
      <w:pPr>
        <w:pStyle w:val="Titre2"/>
      </w:pPr>
      <w:bookmarkStart w:id="13" w:name="_Toc223038811"/>
      <w:r>
        <w:t>2.1 Protocole d’élicitation adapté au terrain</w:t>
      </w:r>
      <w:bookmarkEnd w:id="13"/>
    </w:p>
    <w:p w14:paraId="27299FB8" w14:textId="77777777" w:rsidR="00A61917" w:rsidRDefault="00000000">
      <w:pPr>
        <w:spacing w:after="160" w:line="300" w:lineRule="auto"/>
        <w:jc w:val="both"/>
      </w:pPr>
      <w:r>
        <w:rPr>
          <w:color w:val="1C2833"/>
        </w:rPr>
        <w:t>L’élicitation — c’est-à-dire l’extraction du savoir expert — est la phase la plus délicate. C’est aussi celle qui détermine la qualité de tout ce qui suit. Voici un protocole qui fonctionne dans une organisation réelle, où les experts n’ont pas de temps à perdre et où le savoir est souvent tacite.</w:t>
      </w:r>
    </w:p>
    <w:p w14:paraId="02E12233" w14:textId="77777777" w:rsidR="00A61917" w:rsidRDefault="00000000">
      <w:pPr>
        <w:pStyle w:val="Titre3"/>
      </w:pPr>
      <w:bookmarkStart w:id="14" w:name="_Toc223038812"/>
      <w:r>
        <w:t>Identifier et mobiliser le bon expert</w:t>
      </w:r>
      <w:bookmarkEnd w:id="14"/>
    </w:p>
    <w:p w14:paraId="11E9B587" w14:textId="77777777" w:rsidR="00A61917" w:rsidRDefault="00000000">
      <w:pPr>
        <w:spacing w:after="160" w:line="300" w:lineRule="auto"/>
        <w:jc w:val="both"/>
      </w:pPr>
      <w:r>
        <w:rPr>
          <w:color w:val="1C2833"/>
        </w:rPr>
        <w:t xml:space="preserve">Le bon expert n’est pas forcément le plus senior ou le plus diplômé. C’est celui à qui les collègues posent spontanément des questions quand ils sont bloqués. </w:t>
      </w:r>
      <w:r>
        <w:rPr>
          <w:b/>
          <w:bCs/>
          <w:color w:val="1C2833"/>
        </w:rPr>
        <w:t xml:space="preserve">Le test décisif : </w:t>
      </w:r>
      <w:r>
        <w:rPr>
          <w:color w:val="1C2833"/>
        </w:rPr>
        <w:t>demandez aux opérationnels « À qui vous adressez-vous quand un cas sort de l’ordinaire ? » La personne citée en premier est votre expert cible.</w:t>
      </w:r>
    </w:p>
    <w:p w14:paraId="4DE5BBF5" w14:textId="77777777" w:rsidR="00A61917" w:rsidRDefault="00000000">
      <w:pPr>
        <w:spacing w:after="160" w:line="300" w:lineRule="auto"/>
        <w:jc w:val="both"/>
      </w:pPr>
      <w:r>
        <w:rPr>
          <w:b/>
          <w:bCs/>
          <w:color w:val="1C2833"/>
        </w:rPr>
        <w:t xml:space="preserve">Mobilisation : </w:t>
      </w:r>
      <w:r>
        <w:rPr>
          <w:color w:val="1C2833"/>
        </w:rPr>
        <w:t>ne demandez jamais à un expert de « tout écrire ». Proposez des créneaux courts (45 minutes maximum), avec un objectif précis par séance. Prévoyez 3 à 5 séances pour un OC standard. Protégez leur agenda : bloquez les créneaux vous-même et garantissez qu’ils ne seront pas dérangés.</w:t>
      </w:r>
    </w:p>
    <w:p w14:paraId="01689487" w14:textId="77777777" w:rsidR="00A61917" w:rsidRDefault="00000000">
      <w:pPr>
        <w:pStyle w:val="Titre3"/>
      </w:pPr>
      <w:bookmarkStart w:id="15" w:name="_Toc223038813"/>
      <w:r>
        <w:t>Mener l’entretien d’élicitation</w:t>
      </w:r>
      <w:bookmarkEnd w:id="15"/>
    </w:p>
    <w:p w14:paraId="2416AF73" w14:textId="77777777" w:rsidR="00A61917" w:rsidRDefault="00000000">
      <w:pPr>
        <w:spacing w:after="160" w:line="300" w:lineRule="auto"/>
        <w:jc w:val="both"/>
      </w:pPr>
      <w:r>
        <w:rPr>
          <w:b/>
          <w:bCs/>
          <w:color w:val="1C2833"/>
        </w:rPr>
        <w:t xml:space="preserve">Format : </w:t>
      </w:r>
      <w:r>
        <w:rPr>
          <w:color w:val="1C2833"/>
        </w:rPr>
        <w:t>entretien semi-directif de 45 minutes. Un concepteur d’OC (le « cogniticien »), un expert, éventuellement un observateur/scribe. L’enregistrement audio est recommandé (avec accord).</w:t>
      </w:r>
    </w:p>
    <w:p w14:paraId="15558F4B" w14:textId="77777777" w:rsidR="00A61917" w:rsidRDefault="00000000">
      <w:pPr>
        <w:spacing w:after="160" w:line="300" w:lineRule="auto"/>
        <w:jc w:val="both"/>
      </w:pPr>
      <w:r>
        <w:rPr>
          <w:b/>
          <w:bCs/>
          <w:color w:val="1C2833"/>
        </w:rPr>
        <w:t>Structure type d’une séance :</w:t>
      </w:r>
    </w:p>
    <w:p w14:paraId="0E66FE4A" w14:textId="77777777" w:rsidR="00A61917" w:rsidRDefault="00000000">
      <w:pPr>
        <w:pStyle w:val="Paragraphedeliste"/>
        <w:numPr>
          <w:ilvl w:val="0"/>
          <w:numId w:val="2"/>
        </w:numPr>
        <w:spacing w:after="80" w:line="280" w:lineRule="auto"/>
      </w:pPr>
      <w:r>
        <w:rPr>
          <w:b/>
          <w:bCs/>
          <w:color w:val="1C2833"/>
        </w:rPr>
        <w:t xml:space="preserve">Ancrage par un cas concret (10 min). </w:t>
      </w:r>
      <w:r>
        <w:rPr>
          <w:color w:val="1C2833"/>
        </w:rPr>
        <w:t>« Racontez-moi le dernier cas que vous avez traité de A à Z. » Laissez parler. Ne structurez pas encore.</w:t>
      </w:r>
    </w:p>
    <w:p w14:paraId="20360409" w14:textId="77777777" w:rsidR="00A61917" w:rsidRDefault="00000000">
      <w:pPr>
        <w:pStyle w:val="Paragraphedeliste"/>
        <w:numPr>
          <w:ilvl w:val="0"/>
          <w:numId w:val="2"/>
        </w:numPr>
        <w:spacing w:after="80" w:line="280" w:lineRule="auto"/>
      </w:pPr>
      <w:r>
        <w:rPr>
          <w:b/>
          <w:bCs/>
          <w:color w:val="1C2833"/>
        </w:rPr>
        <w:t xml:space="preserve">Exploration du raisonnement (20 min). </w:t>
      </w:r>
      <w:r>
        <w:rPr>
          <w:color w:val="1C2833"/>
        </w:rPr>
        <w:t>Questions de type : « À ce moment-là, qu’est-ce qui vous a fait choisir cette option plutôt que l’autre ? », « Qu’est-ce que vous regardez en premier ? », « Si un collègue junior était à votre place, quelle erreur ferait-il probablement ? »</w:t>
      </w:r>
    </w:p>
    <w:p w14:paraId="5345905E" w14:textId="77777777" w:rsidR="00A61917" w:rsidRDefault="00000000">
      <w:pPr>
        <w:pStyle w:val="Paragraphedeliste"/>
        <w:numPr>
          <w:ilvl w:val="0"/>
          <w:numId w:val="2"/>
        </w:numPr>
        <w:spacing w:after="80" w:line="280" w:lineRule="auto"/>
      </w:pPr>
      <w:r>
        <w:rPr>
          <w:b/>
          <w:bCs/>
          <w:color w:val="1C2833"/>
        </w:rPr>
        <w:t xml:space="preserve">Cas limites et exceptions (10 min). </w:t>
      </w:r>
      <w:r>
        <w:rPr>
          <w:color w:val="1C2833"/>
        </w:rPr>
        <w:t>« Quel est le cas le plus tordu que vous ayez rencontré ? », « Quand est-ce que votre méthode habituelle ne marche pas ? », « Y a-t-il des situations où vous hésitez sincèrement ? »</w:t>
      </w:r>
    </w:p>
    <w:p w14:paraId="2EC04618" w14:textId="77777777" w:rsidR="00A61917" w:rsidRDefault="00000000">
      <w:pPr>
        <w:pStyle w:val="Paragraphedeliste"/>
        <w:numPr>
          <w:ilvl w:val="0"/>
          <w:numId w:val="2"/>
        </w:numPr>
        <w:spacing w:after="80" w:line="280" w:lineRule="auto"/>
      </w:pPr>
      <w:r>
        <w:rPr>
          <w:b/>
          <w:bCs/>
          <w:color w:val="1C2833"/>
        </w:rPr>
        <w:t xml:space="preserve">Synthèse et validation (5 min). </w:t>
      </w:r>
      <w:r>
        <w:rPr>
          <w:color w:val="1C2833"/>
        </w:rPr>
        <w:t>Reformulez ce que vous avez compris. L’expert corrige. C’est la partie la plus importante : c’est là que les implicites remontent.</w:t>
      </w:r>
    </w:p>
    <w:p w14:paraId="214DE415" w14:textId="77777777" w:rsidR="00A61917" w:rsidRDefault="00000000">
      <w:pPr>
        <w:pStyle w:val="Titre3"/>
      </w:pPr>
      <w:bookmarkStart w:id="16" w:name="_Toc223038814"/>
      <w:r>
        <w:t>Traiter le savoir tacite</w:t>
      </w:r>
      <w:bookmarkEnd w:id="16"/>
    </w:p>
    <w:p w14:paraId="4433B98B" w14:textId="77777777" w:rsidR="00A61917" w:rsidRDefault="00000000">
      <w:pPr>
        <w:spacing w:after="160" w:line="300" w:lineRule="auto"/>
        <w:jc w:val="both"/>
      </w:pPr>
      <w:r>
        <w:rPr>
          <w:color w:val="1C2833"/>
        </w:rPr>
        <w:t>Quand l’expert dit « je le sens » ou « ça dépend », ne renoncez pas. Ces formulations cachent des règles implicites qu’il est possible d’expliciter. Techniques éprouvées :</w:t>
      </w:r>
    </w:p>
    <w:p w14:paraId="0F61E104" w14:textId="77777777" w:rsidR="00A61917" w:rsidRDefault="00000000">
      <w:pPr>
        <w:pStyle w:val="Paragraphedeliste"/>
        <w:numPr>
          <w:ilvl w:val="0"/>
          <w:numId w:val="3"/>
        </w:numPr>
        <w:spacing w:after="80" w:line="280" w:lineRule="auto"/>
      </w:pPr>
      <w:r>
        <w:rPr>
          <w:b/>
          <w:bCs/>
          <w:color w:val="1C2833"/>
        </w:rPr>
        <w:t xml:space="preserve">La technique du contraste : </w:t>
      </w:r>
      <w:r>
        <w:rPr>
          <w:color w:val="1C2833"/>
        </w:rPr>
        <w:t>« Montrez-moi deux cas, un où ça s’est bien passé et un où ça a dérapé. Qu’est-ce qui était différent ? »</w:t>
      </w:r>
    </w:p>
    <w:p w14:paraId="39020FED" w14:textId="77777777" w:rsidR="00A61917" w:rsidRDefault="00000000">
      <w:pPr>
        <w:pStyle w:val="Paragraphedeliste"/>
        <w:numPr>
          <w:ilvl w:val="0"/>
          <w:numId w:val="3"/>
        </w:numPr>
        <w:spacing w:after="80" w:line="280" w:lineRule="auto"/>
      </w:pPr>
      <w:r>
        <w:rPr>
          <w:b/>
          <w:bCs/>
          <w:color w:val="1C2833"/>
        </w:rPr>
        <w:t xml:space="preserve">La technique du novice : </w:t>
      </w:r>
      <w:r>
        <w:rPr>
          <w:color w:val="1C2833"/>
        </w:rPr>
        <w:t>« Si je devais expliquer à un stagiaire compétent comment vous décidez, par quoi je commencerais ? »</w:t>
      </w:r>
    </w:p>
    <w:p w14:paraId="1F29B6CA" w14:textId="77777777" w:rsidR="00A61917" w:rsidRDefault="00000000">
      <w:pPr>
        <w:pStyle w:val="Paragraphedeliste"/>
        <w:numPr>
          <w:ilvl w:val="0"/>
          <w:numId w:val="3"/>
        </w:numPr>
        <w:spacing w:after="80" w:line="280" w:lineRule="auto"/>
      </w:pPr>
      <w:r>
        <w:rPr>
          <w:b/>
          <w:bCs/>
          <w:color w:val="1C2833"/>
        </w:rPr>
        <w:t xml:space="preserve">La technique du scénario dégradé : </w:t>
      </w:r>
      <w:r>
        <w:rPr>
          <w:color w:val="1C2833"/>
        </w:rPr>
        <w:t>« Si vous n’aviez que 2 minutes pour prendre cette décision, quels seraient vos 3 critères ? »</w:t>
      </w:r>
    </w:p>
    <w:p w14:paraId="1E5625FF" w14:textId="77777777" w:rsidR="00A61917" w:rsidRDefault="00000000">
      <w:pPr>
        <w:pStyle w:val="Paragraphedeliste"/>
        <w:numPr>
          <w:ilvl w:val="0"/>
          <w:numId w:val="3"/>
        </w:numPr>
        <w:spacing w:after="80" w:line="280" w:lineRule="auto"/>
      </w:pPr>
      <w:r>
        <w:rPr>
          <w:b/>
          <w:bCs/>
          <w:color w:val="1C2833"/>
        </w:rPr>
        <w:t xml:space="preserve">La technique de l’anti-modèle : </w:t>
      </w:r>
      <w:r>
        <w:rPr>
          <w:color w:val="1C2833"/>
        </w:rPr>
        <w:t>« Comment ferait quelqu’un qui fait MAL ce travail ? » L’expert décrit alors en creux ses propres critères de qualité.</w:t>
      </w:r>
    </w:p>
    <w:p w14:paraId="69FC6D78" w14:textId="77777777" w:rsidR="00A61917" w:rsidRDefault="00000000">
      <w:pPr>
        <w:pStyle w:val="Titre3"/>
      </w:pPr>
      <w:bookmarkStart w:id="17" w:name="_Toc223038815"/>
      <w:r>
        <w:t>Capter les tensions éthiques</w:t>
      </w:r>
      <w:bookmarkEnd w:id="17"/>
    </w:p>
    <w:p w14:paraId="14007986" w14:textId="77777777" w:rsidR="00A61917" w:rsidRDefault="00000000">
      <w:pPr>
        <w:spacing w:after="160" w:line="300" w:lineRule="auto"/>
        <w:jc w:val="both"/>
      </w:pPr>
      <w:r>
        <w:rPr>
          <w:color w:val="1C2833"/>
        </w:rPr>
        <w:t>Toute élicitation doit inclure explicitement la dimension éthique. Questions à poser systématiquement : « Y a-t-il des cas où vous êtes mal à l’aise avec la décision que vous devez prendre ? », « Quelles informations ne devez-vous jamais partager, même si on vous les demande ? », « Que se passe-t-il si l’outil se trompe — qui est impacté ? »</w:t>
      </w:r>
    </w:p>
    <w:p w14:paraId="7142D6DA" w14:textId="77777777" w:rsidR="00A61917" w:rsidRDefault="00000000">
      <w:pPr>
        <w:pStyle w:val="Titre3"/>
      </w:pPr>
      <w:bookmarkStart w:id="18" w:name="_Toc223038816"/>
      <w:r>
        <w:t>Output attendu : la carte brute du raisonnement</w:t>
      </w:r>
      <w:bookmarkEnd w:id="18"/>
    </w:p>
    <w:p w14:paraId="2C396CD9" w14:textId="77777777" w:rsidR="00A61917" w:rsidRDefault="00000000">
      <w:pPr>
        <w:spacing w:after="160" w:line="300" w:lineRule="auto"/>
        <w:jc w:val="both"/>
      </w:pPr>
      <w:r>
        <w:rPr>
          <w:color w:val="1C2833"/>
        </w:rPr>
        <w:t xml:space="preserve">Au terme des séances d’élicitation, vous devez disposer d’une </w:t>
      </w:r>
      <w:r>
        <w:rPr>
          <w:b/>
          <w:bCs/>
          <w:color w:val="1C2833"/>
        </w:rPr>
        <w:t xml:space="preserve">carte brute du raisonnement </w:t>
      </w:r>
      <w:r>
        <w:rPr>
          <w:color w:val="1C2833"/>
        </w:rPr>
        <w:t>exploitable. Ce document informel contient : les étapes du raisonnement telles que l’expert les décrit, les critères de décision identifiés, les cas nominaux et les exceptions, les pièges récurrents, les seuils de déclenchement des alertes, et les tensions éthiques repérées. Cette carte sera la matière première de la construction des 7 couches.</w:t>
      </w:r>
    </w:p>
    <w:p w14:paraId="321179DB" w14:textId="77777777" w:rsidR="00A61917" w:rsidRDefault="00000000">
      <w:r>
        <w:br w:type="page"/>
      </w:r>
    </w:p>
    <w:p w14:paraId="637C82CD" w14:textId="77777777" w:rsidR="00A61917" w:rsidRDefault="00000000">
      <w:pPr>
        <w:pStyle w:val="Titre2"/>
      </w:pPr>
      <w:bookmarkStart w:id="19" w:name="_Toc223038817"/>
      <w:r>
        <w:t>2.2 Construction des 7 couches en contexte organisationnel</w:t>
      </w:r>
      <w:bookmarkEnd w:id="19"/>
    </w:p>
    <w:p w14:paraId="3AB2CDD0" w14:textId="77777777" w:rsidR="00A61917" w:rsidRDefault="00000000">
      <w:pPr>
        <w:spacing w:after="160" w:line="300" w:lineRule="auto"/>
        <w:jc w:val="both"/>
      </w:pPr>
      <w:r>
        <w:rPr>
          <w:color w:val="1C2833"/>
        </w:rPr>
        <w:t>Chaque Objet Cognitif est construit sur une architecture standardisée à 7 couches. Pour chaque couche, vous trouverez ci-dessous ce qu’elle contient concrètement, comment la remplir, les erreurs fréquentes à éviter, et le critère de qualité suffisant pour déployer.</w:t>
      </w:r>
    </w:p>
    <w:p w14:paraId="788E6825" w14:textId="77777777" w:rsidR="00A61917" w:rsidRDefault="00000000">
      <w:pPr>
        <w:pStyle w:val="Titre3"/>
      </w:pPr>
      <w:bookmarkStart w:id="20" w:name="_Toc223038818"/>
      <w:r>
        <w:t>Couche 1 — Identité et cadrage</w:t>
      </w:r>
      <w:bookmarkEnd w:id="20"/>
    </w:p>
    <w:p w14:paraId="0A3E4D81" w14:textId="77777777" w:rsidR="00A61917" w:rsidRDefault="00000000">
      <w:pPr>
        <w:spacing w:after="160" w:line="300" w:lineRule="auto"/>
        <w:jc w:val="both"/>
      </w:pPr>
      <w:r>
        <w:rPr>
          <w:b/>
          <w:bCs/>
          <w:color w:val="1C2833"/>
        </w:rPr>
        <w:t xml:space="preserve">Contenu concret : </w:t>
      </w:r>
      <w:r>
        <w:rPr>
          <w:color w:val="1C2833"/>
        </w:rPr>
        <w:t xml:space="preserve">le nom de l’OC, sa version, son propriétaire métier, le processus cible, le périmètre exact (ce que l’OC couvre ET ce qu’il ne couvre pas), les </w:t>
      </w:r>
      <w:proofErr w:type="spellStart"/>
      <w:r>
        <w:rPr>
          <w:color w:val="1C2833"/>
        </w:rPr>
        <w:t>pré-requis</w:t>
      </w:r>
      <w:proofErr w:type="spellEnd"/>
      <w:r>
        <w:rPr>
          <w:color w:val="1C2833"/>
        </w:rPr>
        <w:t xml:space="preserve"> pour l’utiliser, et le niveau de risque du processus (bas, moyen, haut, critique). Exemple concret : « OC-CR-Réunion v1.2 — Propriétaire : Direction de la qualité — Périmètre : comptes-rendus de réunions de comité de pilotage. Hors périmètre : réunions informelles, brainstormings. Niveau de risque : moyen. »</w:t>
      </w:r>
    </w:p>
    <w:p w14:paraId="132FFD4C" w14:textId="77777777" w:rsidR="00A61917" w:rsidRDefault="00000000">
      <w:pPr>
        <w:spacing w:after="160" w:line="300" w:lineRule="auto"/>
        <w:jc w:val="both"/>
      </w:pPr>
      <w:r>
        <w:rPr>
          <w:b/>
          <w:bCs/>
          <w:color w:val="1C2833"/>
        </w:rPr>
        <w:t xml:space="preserve">Comment la remplir : </w:t>
      </w:r>
      <w:r>
        <w:rPr>
          <w:color w:val="1C2833"/>
        </w:rPr>
        <w:t>le concepteur d’OC la rédige, le propriétaire métier la valide.</w:t>
      </w:r>
    </w:p>
    <w:p w14:paraId="3314FF43" w14:textId="77777777" w:rsidR="00A61917" w:rsidRDefault="00000000">
      <w:pPr>
        <w:spacing w:after="160" w:line="300" w:lineRule="auto"/>
        <w:jc w:val="both"/>
      </w:pPr>
      <w:r>
        <w:rPr>
          <w:b/>
          <w:bCs/>
          <w:color w:val="1C2833"/>
        </w:rPr>
        <w:t xml:space="preserve">Erreur fréquente : </w:t>
      </w:r>
      <w:r>
        <w:rPr>
          <w:color w:val="1C2833"/>
        </w:rPr>
        <w:t>un périmètre trop large (« tous les comptes-rendus de l’entreprise »). Gardez le scope serré : un OC = un contexte d’usage précis.</w:t>
      </w:r>
    </w:p>
    <w:p w14:paraId="47917F16" w14:textId="77777777" w:rsidR="00A61917" w:rsidRDefault="00000000">
      <w:pPr>
        <w:spacing w:after="160" w:line="300" w:lineRule="auto"/>
        <w:jc w:val="both"/>
      </w:pPr>
      <w:r>
        <w:rPr>
          <w:b/>
          <w:bCs/>
          <w:color w:val="1C2833"/>
        </w:rPr>
        <w:t xml:space="preserve">Critère suffisant : </w:t>
      </w:r>
      <w:r>
        <w:rPr>
          <w:color w:val="1C2833"/>
        </w:rPr>
        <w:t>un opérationnel qui lit la couche 1 sait immédiatement si cet OC le concerne ou non.</w:t>
      </w:r>
    </w:p>
    <w:p w14:paraId="33C54F5A" w14:textId="77777777" w:rsidR="00A61917" w:rsidRDefault="00000000">
      <w:pPr>
        <w:pStyle w:val="Titre3"/>
      </w:pPr>
      <w:bookmarkStart w:id="21" w:name="_Toc223038819"/>
      <w:r>
        <w:t>Couche 2 — Entrées et contexte</w:t>
      </w:r>
      <w:bookmarkEnd w:id="21"/>
    </w:p>
    <w:p w14:paraId="3381F9CD" w14:textId="77777777" w:rsidR="00A61917" w:rsidRDefault="00000000">
      <w:pPr>
        <w:spacing w:after="160" w:line="300" w:lineRule="auto"/>
        <w:jc w:val="both"/>
      </w:pPr>
      <w:r>
        <w:rPr>
          <w:b/>
          <w:bCs/>
          <w:color w:val="1C2833"/>
        </w:rPr>
        <w:t xml:space="preserve">Contenu concret : </w:t>
      </w:r>
      <w:r>
        <w:rPr>
          <w:color w:val="1C2833"/>
        </w:rPr>
        <w:t>la liste exhaustive des informations nécessaires au raisonnement (données d’entrée, documents de référence, contexte organisationnel), avec pour chacune : sa source, son format attendu, son niveau de fraîcheur requis, et son caractère obligatoire ou facultatif. Exemple : « Entrée 1 : Transcription brute de la réunion (audio ou texte). Source : outil de visioconférence. Format : texte brut ou fichier audio. Fraîcheur : immédiate (jour même). Obligatoire. »</w:t>
      </w:r>
    </w:p>
    <w:p w14:paraId="1C58F99A" w14:textId="77777777" w:rsidR="00A61917" w:rsidRDefault="00000000">
      <w:pPr>
        <w:spacing w:after="160" w:line="300" w:lineRule="auto"/>
        <w:jc w:val="both"/>
      </w:pPr>
      <w:r>
        <w:rPr>
          <w:b/>
          <w:bCs/>
          <w:color w:val="1C2833"/>
        </w:rPr>
        <w:t xml:space="preserve">Comment la remplir : </w:t>
      </w:r>
      <w:r>
        <w:rPr>
          <w:color w:val="1C2833"/>
        </w:rPr>
        <w:t>le cogniticien la construit à partir de la carte brute d’élicitation, puis la confronte à un opérationnel pour vérifier que toutes les entrées sont effectivement disponibles en conditions réelles.</w:t>
      </w:r>
    </w:p>
    <w:p w14:paraId="1C6C5167" w14:textId="77777777" w:rsidR="00A61917" w:rsidRDefault="00000000">
      <w:pPr>
        <w:spacing w:after="160" w:line="300" w:lineRule="auto"/>
        <w:jc w:val="both"/>
      </w:pPr>
      <w:r>
        <w:rPr>
          <w:b/>
          <w:bCs/>
          <w:color w:val="1C2833"/>
        </w:rPr>
        <w:t xml:space="preserve">Erreur fréquente : </w:t>
      </w:r>
      <w:r>
        <w:rPr>
          <w:color w:val="1C2833"/>
        </w:rPr>
        <w:t>supposer qu’une entrée « existe forcément » sans vérifier. Réalité : dans beaucoup d’organisations, la donnée n’est pas là où on croit.</w:t>
      </w:r>
    </w:p>
    <w:p w14:paraId="027BA8B3" w14:textId="77777777" w:rsidR="00A61917" w:rsidRDefault="00000000">
      <w:pPr>
        <w:spacing w:after="160" w:line="300" w:lineRule="auto"/>
        <w:jc w:val="both"/>
      </w:pPr>
      <w:r>
        <w:rPr>
          <w:b/>
          <w:bCs/>
          <w:color w:val="1C2833"/>
        </w:rPr>
        <w:t xml:space="preserve">Critère suffisant : </w:t>
      </w:r>
      <w:r>
        <w:rPr>
          <w:color w:val="1C2833"/>
        </w:rPr>
        <w:t>un opérationnel peut rassembler toutes les entrées en moins de 10 minutes sans demander de l’aide.</w:t>
      </w:r>
    </w:p>
    <w:p w14:paraId="5D038B0E" w14:textId="77777777" w:rsidR="00A61917" w:rsidRDefault="00000000">
      <w:pPr>
        <w:pStyle w:val="Titre3"/>
      </w:pPr>
      <w:bookmarkStart w:id="22" w:name="_Toc223038820"/>
      <w:r>
        <w:t>Couche 3 — Raisonnement (couche critique)</w:t>
      </w:r>
      <w:bookmarkEnd w:id="22"/>
    </w:p>
    <w:p w14:paraId="6BFA827C" w14:textId="77777777" w:rsidR="00A61917" w:rsidRDefault="00000000">
      <w:pPr>
        <w:spacing w:after="160" w:line="300" w:lineRule="auto"/>
        <w:jc w:val="both"/>
      </w:pPr>
      <w:r>
        <w:rPr>
          <w:b/>
          <w:bCs/>
          <w:color w:val="1C2833"/>
        </w:rPr>
        <w:t xml:space="preserve">Contenu concret : </w:t>
      </w:r>
      <w:r>
        <w:rPr>
          <w:color w:val="1C2833"/>
        </w:rPr>
        <w:t>le cœur de l’OC. C’est la formalisation du raisonnement expert en langage naturel structuré : les étapes du raisonnement, les critères de décision, les règles de jugement (des phrases du type « Si [condition], alors [action], parce que [justification] »), et les points d’attention spécifiques. Le défi : formaliser des règles du pouce (que les experts appellent parfois « intuition ») en énoncés clairs, sans tomber dans l’algorithmique rigide ni dans le flou poétique.</w:t>
      </w:r>
    </w:p>
    <w:p w14:paraId="046CBD32" w14:textId="77777777" w:rsidR="00A61917" w:rsidRDefault="00000000">
      <w:pPr>
        <w:spacing w:after="160" w:line="300" w:lineRule="auto"/>
        <w:jc w:val="both"/>
      </w:pPr>
      <w:r>
        <w:rPr>
          <w:b/>
          <w:bCs/>
          <w:color w:val="1C2833"/>
        </w:rPr>
        <w:t xml:space="preserve">Technique de formalisation : </w:t>
      </w:r>
      <w:r>
        <w:rPr>
          <w:color w:val="1C2833"/>
        </w:rPr>
        <w:t>utilisez le format « règle-contexte-exception ». Chaque règle est formulée comme un énoncé en trois parties. La règle elle-même (« un désaccord exprimé en réunion doit être conservé tel quel dans le compte-rendu »), le contexte d’application (« sauf si l’auteur du désaccord demande explicitement sa suppression »), et l’exception (« si le désaccord porte sur des données personnelles ou des allégations nominatives, escalader au propriétaire de l’OC avant diffusion »).</w:t>
      </w:r>
    </w:p>
    <w:p w14:paraId="5AA2DB3D" w14:textId="77777777" w:rsidR="00A61917" w:rsidRDefault="00000000">
      <w:pPr>
        <w:spacing w:after="160" w:line="300" w:lineRule="auto"/>
        <w:jc w:val="both"/>
      </w:pPr>
      <w:r>
        <w:rPr>
          <w:b/>
          <w:bCs/>
          <w:color w:val="1C2833"/>
        </w:rPr>
        <w:t xml:space="preserve">Erreur fréquente : </w:t>
      </w:r>
      <w:r>
        <w:rPr>
          <w:color w:val="1C2833"/>
        </w:rPr>
        <w:t xml:space="preserve">deux extrêmes à éviter. D’un côté, l’excès de formalisme (« si variable X &gt; seuil Y et variable Z ∈ {A, B, </w:t>
      </w:r>
      <w:proofErr w:type="gramStart"/>
      <w:r>
        <w:rPr>
          <w:color w:val="1C2833"/>
        </w:rPr>
        <w:t>C}…</w:t>
      </w:r>
      <w:proofErr w:type="gramEnd"/>
      <w:r>
        <w:rPr>
          <w:color w:val="1C2833"/>
        </w:rPr>
        <w:t xml:space="preserve"> ») qui produit un pseudo-code illisible pour les opérationnels. De l’autre, le flou généreux (« faire preuve de discernement ») qui ne formalise rien du tout.</w:t>
      </w:r>
    </w:p>
    <w:p w14:paraId="34C19637" w14:textId="77777777" w:rsidR="00A61917" w:rsidRDefault="00000000">
      <w:pPr>
        <w:spacing w:after="160" w:line="300" w:lineRule="auto"/>
        <w:jc w:val="both"/>
      </w:pPr>
      <w:r>
        <w:rPr>
          <w:b/>
          <w:bCs/>
          <w:color w:val="1C2833"/>
        </w:rPr>
        <w:t xml:space="preserve">Critère suffisant : </w:t>
      </w:r>
      <w:r>
        <w:rPr>
          <w:color w:val="1C2833"/>
        </w:rPr>
        <w:t>un opérationnel compétent qui n’a jamais fait le travail peut, en lisant cette couche, produire un résultat que l’expert juge « acceptable » 8 fois sur 10.</w:t>
      </w:r>
    </w:p>
    <w:p w14:paraId="01AC9AC5" w14:textId="77777777" w:rsidR="00A61917" w:rsidRDefault="00000000">
      <w:pPr>
        <w:pStyle w:val="Titre3"/>
      </w:pPr>
      <w:bookmarkStart w:id="23" w:name="_Toc223038821"/>
      <w:r>
        <w:t>Couche 4 — Garde-fous éthiques et de sécurité</w:t>
      </w:r>
      <w:bookmarkEnd w:id="23"/>
    </w:p>
    <w:p w14:paraId="55BA226D" w14:textId="77777777" w:rsidR="00A61917" w:rsidRDefault="00000000">
      <w:pPr>
        <w:spacing w:after="160" w:line="300" w:lineRule="auto"/>
        <w:jc w:val="both"/>
      </w:pPr>
      <w:r>
        <w:rPr>
          <w:b/>
          <w:bCs/>
          <w:color w:val="1C2833"/>
        </w:rPr>
        <w:t xml:space="preserve">Contenu concret : </w:t>
      </w:r>
      <w:r>
        <w:rPr>
          <w:color w:val="1C2833"/>
        </w:rPr>
        <w:t>les limites que le raisonnement ne doit jamais franchir, les alertes à déclencher, et les cas où l’intervention humaine est obligatoire. Trois catégories : les interdits absolus (actions jamais automatisées, données jamais exposées), les seuils d’alerte (conditions qui déclenchent une escalade), et les validations obligatoires (points où un humain doit signer avant que le processus continue).</w:t>
      </w:r>
    </w:p>
    <w:p w14:paraId="60C7858B" w14:textId="77777777" w:rsidR="00A61917" w:rsidRDefault="00000000">
      <w:pPr>
        <w:spacing w:after="160" w:line="300" w:lineRule="auto"/>
        <w:jc w:val="both"/>
      </w:pPr>
      <w:r>
        <w:rPr>
          <w:b/>
          <w:bCs/>
          <w:color w:val="1C2833"/>
        </w:rPr>
        <w:t xml:space="preserve">Comment la remplir : </w:t>
      </w:r>
      <w:r>
        <w:rPr>
          <w:color w:val="1C2833"/>
        </w:rPr>
        <w:t>croiser trois sources : les tensions éthiques identifiées en élicitation, les exigences réglementaires du domaine (RGPD, conformité sectorielle, politique interne), et les scénarios adverses (« que se passe-t-il si l’outil produit une sortie erronée ou biaisée ? »).</w:t>
      </w:r>
    </w:p>
    <w:p w14:paraId="615AFD16" w14:textId="77777777" w:rsidR="00A61917" w:rsidRDefault="00000000">
      <w:pPr>
        <w:spacing w:after="160" w:line="300" w:lineRule="auto"/>
        <w:jc w:val="both"/>
      </w:pPr>
      <w:r>
        <w:rPr>
          <w:b/>
          <w:bCs/>
          <w:color w:val="1C2833"/>
        </w:rPr>
        <w:t xml:space="preserve">Erreur fréquente : </w:t>
      </w:r>
      <w:r>
        <w:rPr>
          <w:color w:val="1C2833"/>
        </w:rPr>
        <w:t xml:space="preserve">des garde-fous trop génériques (« respecter l’éthique ») ou trop restrictifs (tout bloquer, rendant l’OC inutilisable). Les garde-fous doivent être spécifiques, </w:t>
      </w:r>
      <w:proofErr w:type="spellStart"/>
      <w:r>
        <w:rPr>
          <w:color w:val="1C2833"/>
        </w:rPr>
        <w:t>actionables</w:t>
      </w:r>
      <w:proofErr w:type="spellEnd"/>
      <w:r>
        <w:rPr>
          <w:color w:val="1C2833"/>
        </w:rPr>
        <w:t>, et proportionnés au risque.</w:t>
      </w:r>
    </w:p>
    <w:p w14:paraId="7AAC1BCA" w14:textId="77777777" w:rsidR="00A61917" w:rsidRDefault="00000000">
      <w:pPr>
        <w:spacing w:after="160" w:line="300" w:lineRule="auto"/>
        <w:jc w:val="both"/>
      </w:pPr>
      <w:r>
        <w:rPr>
          <w:b/>
          <w:bCs/>
          <w:color w:val="1C2833"/>
        </w:rPr>
        <w:t xml:space="preserve">Critère suffisant : </w:t>
      </w:r>
      <w:r>
        <w:rPr>
          <w:color w:val="1C2833"/>
        </w:rPr>
        <w:t>pour chaque scénario adverse identifié, il existe une réponse prédéfinie (bloquer, alerter, escalader) et un responsable identifié.</w:t>
      </w:r>
    </w:p>
    <w:p w14:paraId="37B31CAE" w14:textId="77777777" w:rsidR="00A61917" w:rsidRDefault="00000000">
      <w:pPr>
        <w:pStyle w:val="Titre3"/>
      </w:pPr>
      <w:bookmarkStart w:id="24" w:name="_Toc223038822"/>
      <w:r>
        <w:t>Couche 5 — Format de sortie</w:t>
      </w:r>
      <w:bookmarkEnd w:id="24"/>
    </w:p>
    <w:p w14:paraId="6D600245" w14:textId="77777777" w:rsidR="00A61917" w:rsidRDefault="00000000">
      <w:pPr>
        <w:spacing w:after="160" w:line="300" w:lineRule="auto"/>
        <w:jc w:val="both"/>
      </w:pPr>
      <w:r>
        <w:rPr>
          <w:b/>
          <w:bCs/>
          <w:color w:val="1C2833"/>
        </w:rPr>
        <w:t xml:space="preserve">Contenu concret : </w:t>
      </w:r>
      <w:r>
        <w:rPr>
          <w:color w:val="1C2833"/>
        </w:rPr>
        <w:t xml:space="preserve">la structure exacte du livrable produit par l’OC. Pas juste « un compte-rendu », mais le détail des sections attendues, leur ordre, les éléments obligatoires et facultatifs, les règles de nommage et de diffusion. Exemple : « Sortie = document structuré en 5 sections : Décisions prises (avec responsable et échéance), Actions à mener, Points ouverts, Désaccords conservés, Alertes signalées. Format : </w:t>
      </w:r>
      <w:proofErr w:type="spellStart"/>
      <w:r>
        <w:rPr>
          <w:color w:val="1C2833"/>
        </w:rPr>
        <w:t>Markdown</w:t>
      </w:r>
      <w:proofErr w:type="spellEnd"/>
      <w:r>
        <w:rPr>
          <w:color w:val="1C2833"/>
        </w:rPr>
        <w:t xml:space="preserve"> ou document Word. Nommage : CR</w:t>
      </w:r>
      <w:proofErr w:type="gramStart"/>
      <w:r>
        <w:rPr>
          <w:color w:val="1C2833"/>
        </w:rPr>
        <w:t>-[</w:t>
      </w:r>
      <w:proofErr w:type="gramEnd"/>
      <w:r>
        <w:rPr>
          <w:color w:val="1C2833"/>
        </w:rPr>
        <w:t xml:space="preserve">nom du </w:t>
      </w:r>
      <w:proofErr w:type="gramStart"/>
      <w:r>
        <w:rPr>
          <w:color w:val="1C2833"/>
        </w:rPr>
        <w:t>comité]-</w:t>
      </w:r>
      <w:proofErr w:type="gramEnd"/>
      <w:r>
        <w:rPr>
          <w:color w:val="1C2833"/>
        </w:rPr>
        <w:t>[date]-v[n]. »</w:t>
      </w:r>
    </w:p>
    <w:p w14:paraId="174400B6" w14:textId="77777777" w:rsidR="00A61917" w:rsidRDefault="00000000">
      <w:pPr>
        <w:spacing w:after="160" w:line="300" w:lineRule="auto"/>
        <w:jc w:val="both"/>
      </w:pPr>
      <w:r>
        <w:rPr>
          <w:b/>
          <w:bCs/>
          <w:color w:val="1C2833"/>
        </w:rPr>
        <w:t xml:space="preserve">Erreur fréquente : </w:t>
      </w:r>
      <w:r>
        <w:rPr>
          <w:color w:val="1C2833"/>
        </w:rPr>
        <w:t>ne pas définir le format de sortie assez précisément, laissant l’IA ou l’opérateur faire des choix incohérents d’une exécution à l’autre.</w:t>
      </w:r>
    </w:p>
    <w:p w14:paraId="26DC1279" w14:textId="77777777" w:rsidR="00A61917" w:rsidRDefault="00000000">
      <w:pPr>
        <w:spacing w:after="160" w:line="300" w:lineRule="auto"/>
        <w:jc w:val="both"/>
      </w:pPr>
      <w:r>
        <w:rPr>
          <w:b/>
          <w:bCs/>
          <w:color w:val="1C2833"/>
        </w:rPr>
        <w:t xml:space="preserve">Critère suffisant : </w:t>
      </w:r>
      <w:r>
        <w:rPr>
          <w:color w:val="1C2833"/>
        </w:rPr>
        <w:t>deux exécutions du même OC sur des cas similaires produisent des livrables structurellement identiques (seul le contenu varie).</w:t>
      </w:r>
    </w:p>
    <w:p w14:paraId="63BD62F4" w14:textId="77777777" w:rsidR="00A61917" w:rsidRDefault="00000000">
      <w:pPr>
        <w:pStyle w:val="Titre3"/>
      </w:pPr>
      <w:bookmarkStart w:id="25" w:name="_Toc223038823"/>
      <w:r>
        <w:t>Couche 6 — Composition et intégration</w:t>
      </w:r>
      <w:bookmarkEnd w:id="25"/>
    </w:p>
    <w:p w14:paraId="738A10EA" w14:textId="77777777" w:rsidR="00A61917" w:rsidRDefault="00000000">
      <w:pPr>
        <w:spacing w:after="160" w:line="300" w:lineRule="auto"/>
        <w:jc w:val="both"/>
      </w:pPr>
      <w:r>
        <w:rPr>
          <w:b/>
          <w:bCs/>
          <w:color w:val="1C2833"/>
        </w:rPr>
        <w:t xml:space="preserve">Contenu concret : </w:t>
      </w:r>
      <w:r>
        <w:rPr>
          <w:color w:val="1C2833"/>
        </w:rPr>
        <w:t xml:space="preserve">cette couche décrit comment l’OC s’insère dans un écosystème plus large. Elle fonctionne comme un contrat de service, au sens « Data </w:t>
      </w:r>
      <w:proofErr w:type="spellStart"/>
      <w:r>
        <w:rPr>
          <w:color w:val="1C2833"/>
        </w:rPr>
        <w:t>Mesh</w:t>
      </w:r>
      <w:proofErr w:type="spellEnd"/>
      <w:r>
        <w:rPr>
          <w:color w:val="1C2833"/>
        </w:rPr>
        <w:t xml:space="preserve"> » (c’est-à-dire que l’OC est traité comme un produit avec un propriétaire, une documentation, une qualité mesurée et un engagement de service). Contenu : dépendances amont (quels OC ou sources alimentent celui-ci ?), consommateurs aval (qui ou quoi utilise la sortie de cet OC ?), contrat d’interface (format, fréquence, engagement de qualité), et conditions de composition (cet OC peut-il être chaîné automatiquement ou nécessite-t-il une validation humaine entre deux étapes ?).</w:t>
      </w:r>
    </w:p>
    <w:p w14:paraId="12B7DEE4" w14:textId="77777777" w:rsidR="00A61917" w:rsidRDefault="00000000">
      <w:pPr>
        <w:spacing w:after="160" w:line="300" w:lineRule="auto"/>
        <w:jc w:val="both"/>
      </w:pPr>
      <w:r>
        <w:rPr>
          <w:b/>
          <w:bCs/>
          <w:color w:val="1C2833"/>
        </w:rPr>
        <w:t xml:space="preserve">Erreur fréquente : </w:t>
      </w:r>
      <w:r>
        <w:rPr>
          <w:color w:val="1C2833"/>
        </w:rPr>
        <w:t>concevoir l’OC en silo, sans penser à ses connexions. Résultat : des OC qui fonctionnent individuellement mais ne composent jamais.</w:t>
      </w:r>
    </w:p>
    <w:p w14:paraId="32EE8A4D" w14:textId="77777777" w:rsidR="00A61917" w:rsidRDefault="00000000">
      <w:pPr>
        <w:spacing w:after="160" w:line="300" w:lineRule="auto"/>
        <w:jc w:val="both"/>
      </w:pPr>
      <w:r>
        <w:rPr>
          <w:b/>
          <w:bCs/>
          <w:color w:val="1C2833"/>
        </w:rPr>
        <w:t xml:space="preserve">Critère suffisant : </w:t>
      </w:r>
      <w:r>
        <w:rPr>
          <w:color w:val="1C2833"/>
        </w:rPr>
        <w:t>un autre concepteur d’OC peut utiliser la sortie de cet OC comme entrée de son propre OC sans avoir besoin de contacter le propriétaire.</w:t>
      </w:r>
    </w:p>
    <w:p w14:paraId="043C6BAA" w14:textId="77777777" w:rsidR="00A61917" w:rsidRDefault="00000000">
      <w:pPr>
        <w:pStyle w:val="Titre3"/>
      </w:pPr>
      <w:bookmarkStart w:id="26" w:name="_Toc223038824"/>
      <w:r>
        <w:t>Couche 7 — Métadonnées et cycle de vie</w:t>
      </w:r>
      <w:bookmarkEnd w:id="26"/>
    </w:p>
    <w:p w14:paraId="1CFB1B5F" w14:textId="77777777" w:rsidR="00A61917" w:rsidRDefault="00000000">
      <w:pPr>
        <w:spacing w:after="160" w:line="300" w:lineRule="auto"/>
        <w:jc w:val="both"/>
      </w:pPr>
      <w:r>
        <w:rPr>
          <w:b/>
          <w:bCs/>
          <w:color w:val="1C2833"/>
        </w:rPr>
        <w:t xml:space="preserve">Contenu concret : </w:t>
      </w:r>
      <w:r>
        <w:rPr>
          <w:color w:val="1C2833"/>
        </w:rPr>
        <w:t>toutes les informations de gestion : historique des versions avec les changements significatifs, date de création et de dernière revue, statut (brouillon, actif, en revue, archivé), conditions de décommissionnement (quand retirer l’OC), et indicateurs de performance (taux d’usage, taux de rejet, satisfaction utilisateurs).</w:t>
      </w:r>
    </w:p>
    <w:p w14:paraId="6855D158" w14:textId="77777777" w:rsidR="00A61917" w:rsidRDefault="00000000">
      <w:pPr>
        <w:spacing w:after="160" w:line="300" w:lineRule="auto"/>
        <w:jc w:val="both"/>
      </w:pPr>
      <w:r>
        <w:rPr>
          <w:b/>
          <w:bCs/>
          <w:color w:val="1C2833"/>
        </w:rPr>
        <w:t xml:space="preserve">Erreur fréquente : </w:t>
      </w:r>
      <w:r>
        <w:rPr>
          <w:color w:val="1C2833"/>
        </w:rPr>
        <w:t>ne pas versionner. Un OC non versionné devient vite un OC obsolète auquel plus personne ne fait confiance.</w:t>
      </w:r>
    </w:p>
    <w:p w14:paraId="3F4D01E6" w14:textId="77777777" w:rsidR="00A61917" w:rsidRDefault="00000000">
      <w:pPr>
        <w:spacing w:after="160" w:line="300" w:lineRule="auto"/>
        <w:jc w:val="both"/>
      </w:pPr>
      <w:r>
        <w:rPr>
          <w:b/>
          <w:bCs/>
          <w:color w:val="1C2833"/>
        </w:rPr>
        <w:t xml:space="preserve">Critère suffisant : </w:t>
      </w:r>
      <w:r>
        <w:rPr>
          <w:color w:val="1C2833"/>
        </w:rPr>
        <w:t>on peut retracer l’historique complet de l’OC et comprendre pourquoi chaque version a évolué.</w:t>
      </w:r>
    </w:p>
    <w:p w14:paraId="084EA1BC" w14:textId="77777777" w:rsidR="00A61917" w:rsidRDefault="00000000">
      <w:pPr>
        <w:pStyle w:val="Titre2"/>
      </w:pPr>
      <w:bookmarkStart w:id="27" w:name="_Toc223038825"/>
      <w:r>
        <w:t>2.3 Calibration et validation</w:t>
      </w:r>
      <w:bookmarkEnd w:id="27"/>
    </w:p>
    <w:p w14:paraId="4B9F6038" w14:textId="77777777" w:rsidR="00A61917" w:rsidRDefault="00000000">
      <w:pPr>
        <w:spacing w:after="160" w:line="300" w:lineRule="auto"/>
        <w:jc w:val="both"/>
      </w:pPr>
      <w:r>
        <w:rPr>
          <w:color w:val="1C2833"/>
        </w:rPr>
        <w:t>Un OC non testé est un OC non fiable. Le protocole de validation doit être proportionné au risque, mais jamais absent.</w:t>
      </w:r>
    </w:p>
    <w:p w14:paraId="3C3B23A7" w14:textId="77777777" w:rsidR="00A61917" w:rsidRDefault="00000000">
      <w:pPr>
        <w:pStyle w:val="Titre3"/>
      </w:pPr>
      <w:bookmarkStart w:id="28" w:name="_Toc223038826"/>
      <w:r>
        <w:t>Constituer la batterie de cas de test</w:t>
      </w:r>
      <w:bookmarkEnd w:id="28"/>
    </w:p>
    <w:p w14:paraId="43D3994E" w14:textId="77777777" w:rsidR="00A61917" w:rsidRDefault="00000000">
      <w:pPr>
        <w:spacing w:after="160" w:line="300" w:lineRule="auto"/>
        <w:jc w:val="both"/>
      </w:pPr>
      <w:r>
        <w:rPr>
          <w:color w:val="1C2833"/>
        </w:rPr>
        <w:t>Quatre catégories de cas à constituer systématiquement :</w:t>
      </w:r>
    </w:p>
    <w:p w14:paraId="27AD24CC" w14:textId="77777777" w:rsidR="00A61917" w:rsidRDefault="00000000">
      <w:pPr>
        <w:pStyle w:val="Paragraphedeliste"/>
        <w:numPr>
          <w:ilvl w:val="0"/>
          <w:numId w:val="4"/>
        </w:numPr>
        <w:spacing w:after="80" w:line="280" w:lineRule="auto"/>
      </w:pPr>
      <w:r>
        <w:rPr>
          <w:b/>
          <w:bCs/>
          <w:color w:val="1C2833"/>
        </w:rPr>
        <w:t xml:space="preserve">Cas nominaux (60 %) : </w:t>
      </w:r>
      <w:r>
        <w:rPr>
          <w:color w:val="1C2833"/>
        </w:rPr>
        <w:t>les situations courantes, représentatives du quotidien. L’OC doit les traiter correctement à chaque fois.</w:t>
      </w:r>
    </w:p>
    <w:p w14:paraId="38696952" w14:textId="77777777" w:rsidR="00A61917" w:rsidRDefault="00000000">
      <w:pPr>
        <w:pStyle w:val="Paragraphedeliste"/>
        <w:numPr>
          <w:ilvl w:val="0"/>
          <w:numId w:val="4"/>
        </w:numPr>
        <w:spacing w:after="80" w:line="280" w:lineRule="auto"/>
      </w:pPr>
      <w:r>
        <w:rPr>
          <w:b/>
          <w:bCs/>
          <w:color w:val="1C2833"/>
        </w:rPr>
        <w:t xml:space="preserve">Cas limites (20 %) : </w:t>
      </w:r>
      <w:r>
        <w:rPr>
          <w:color w:val="1C2833"/>
        </w:rPr>
        <w:t>les situations aux frontières du périmètre. L’OC doit produire un résultat raisonnable ou signaler qu’il atteint ses limites.</w:t>
      </w:r>
    </w:p>
    <w:p w14:paraId="3EFA4602" w14:textId="77777777" w:rsidR="00A61917" w:rsidRDefault="00000000">
      <w:pPr>
        <w:pStyle w:val="Paragraphedeliste"/>
        <w:numPr>
          <w:ilvl w:val="0"/>
          <w:numId w:val="4"/>
        </w:numPr>
        <w:spacing w:after="80" w:line="280" w:lineRule="auto"/>
      </w:pPr>
      <w:r>
        <w:rPr>
          <w:b/>
          <w:bCs/>
          <w:color w:val="1C2833"/>
        </w:rPr>
        <w:t xml:space="preserve">Cas ambigus (10 %) : </w:t>
      </w:r>
      <w:r>
        <w:rPr>
          <w:color w:val="1C2833"/>
        </w:rPr>
        <w:t>les situations où même l’expert hésite. L’OC doit restituer l’ambiguïté sans la trancher artificiellement.</w:t>
      </w:r>
    </w:p>
    <w:p w14:paraId="225C7EB0" w14:textId="77777777" w:rsidR="00A61917" w:rsidRDefault="00000000">
      <w:pPr>
        <w:pStyle w:val="Paragraphedeliste"/>
        <w:numPr>
          <w:ilvl w:val="0"/>
          <w:numId w:val="4"/>
        </w:numPr>
        <w:spacing w:after="80" w:line="280" w:lineRule="auto"/>
      </w:pPr>
      <w:r>
        <w:rPr>
          <w:b/>
          <w:bCs/>
          <w:color w:val="1C2833"/>
        </w:rPr>
        <w:t xml:space="preserve">Cas adverses (10 %) : </w:t>
      </w:r>
      <w:r>
        <w:rPr>
          <w:color w:val="1C2833"/>
        </w:rPr>
        <w:t>les situations conçues pour piéger l’OC (données manquantes, informations contradictoires, tentative de contournement des garde-fous). L’OC doit déclencher les alertes prévues.</w:t>
      </w:r>
    </w:p>
    <w:p w14:paraId="5174F61C" w14:textId="77777777" w:rsidR="00A61917" w:rsidRDefault="00000000">
      <w:pPr>
        <w:pStyle w:val="Titre3"/>
      </w:pPr>
      <w:bookmarkStart w:id="29" w:name="_Toc223038827"/>
      <w:r>
        <w:t>Mesurer la fiabilité</w:t>
      </w:r>
      <w:bookmarkEnd w:id="29"/>
    </w:p>
    <w:p w14:paraId="0F1277A7" w14:textId="77777777" w:rsidR="00A61917" w:rsidRDefault="00000000">
      <w:pPr>
        <w:spacing w:after="160" w:line="300" w:lineRule="auto"/>
        <w:jc w:val="both"/>
      </w:pPr>
      <w:r>
        <w:rPr>
          <w:color w:val="1C2833"/>
        </w:rPr>
        <w:t xml:space="preserve">Pour chaque cas de test, le résultat est évalué par l’expert et par au moins un utilisateur final. L’évaluation porte sur trois dimensions : </w:t>
      </w:r>
      <w:r>
        <w:rPr>
          <w:b/>
          <w:bCs/>
          <w:color w:val="1C2833"/>
        </w:rPr>
        <w:t xml:space="preserve">exactitude </w:t>
      </w:r>
      <w:r>
        <w:rPr>
          <w:color w:val="1C2833"/>
        </w:rPr>
        <w:t xml:space="preserve">(le raisonnement produit le bon résultat), </w:t>
      </w:r>
      <w:r>
        <w:rPr>
          <w:b/>
          <w:bCs/>
          <w:color w:val="1C2833"/>
        </w:rPr>
        <w:t xml:space="preserve">complétude </w:t>
      </w:r>
      <w:r>
        <w:rPr>
          <w:color w:val="1C2833"/>
        </w:rPr>
        <w:t xml:space="preserve">(aucun élément important n’est omis), et </w:t>
      </w:r>
      <w:r>
        <w:rPr>
          <w:b/>
          <w:bCs/>
          <w:color w:val="1C2833"/>
        </w:rPr>
        <w:t xml:space="preserve">sécurité </w:t>
      </w:r>
      <w:r>
        <w:rPr>
          <w:color w:val="1C2833"/>
        </w:rPr>
        <w:t>(les garde-fous fonctionnent quand ils doivent). Le seuil de passage en exploitation dépend du niveau de risque défini en couche 1 : pour un OC à risque bas, 80 % de réussite sur les cas nominaux suffit ; pour un OC à risque critique, le seuil monte à 95 % avec zéro défaillance sur les cas adverses.</w:t>
      </w:r>
    </w:p>
    <w:p w14:paraId="5284EF39" w14:textId="77777777" w:rsidR="00A61917" w:rsidRDefault="00000000">
      <w:pPr>
        <w:pStyle w:val="Titre3"/>
      </w:pPr>
      <w:bookmarkStart w:id="30" w:name="_Toc223038828"/>
      <w:r>
        <w:t>Critères de passage en exploitation</w:t>
      </w:r>
      <w:bookmarkEnd w:id="30"/>
    </w:p>
    <w:p w14:paraId="50DA4854" w14:textId="77777777" w:rsidR="00A61917" w:rsidRDefault="00000000">
      <w:pPr>
        <w:spacing w:after="160" w:line="300" w:lineRule="auto"/>
        <w:jc w:val="both"/>
      </w:pPr>
      <w:r>
        <w:rPr>
          <w:color w:val="1C2833"/>
        </w:rPr>
        <w:t>Un OC est prêt pour l’exploitation quand les quatre conditions suivantes sont réunies : la batterie de tests a été passée avec les seuils requis, au moins 3 utilisateurs finaux (distincts de l’expert) ont validé l’utilisabilité, le propriétaire métier a signé la mise en service, et un plan de suivi post-déploiement est défini (qui surveille quoi, à quelle fréquence).</w:t>
      </w:r>
    </w:p>
    <w:p w14:paraId="6115AA8F" w14:textId="77777777" w:rsidR="00A61917" w:rsidRDefault="00000000">
      <w:r>
        <w:br w:type="page"/>
      </w:r>
    </w:p>
    <w:p w14:paraId="173D2D4F" w14:textId="77777777" w:rsidR="00A61917" w:rsidRDefault="00000000">
      <w:pPr>
        <w:pStyle w:val="Titre1"/>
      </w:pPr>
      <w:bookmarkStart w:id="31" w:name="_Toc223038829"/>
      <w:r>
        <w:t>Partie 3 — Exploitation et intégration</w:t>
      </w:r>
      <w:bookmarkEnd w:id="31"/>
    </w:p>
    <w:p w14:paraId="20FFDEC2" w14:textId="77777777" w:rsidR="00A61917" w:rsidRDefault="00000000">
      <w:pPr>
        <w:spacing w:after="160" w:line="300" w:lineRule="auto"/>
        <w:jc w:val="both"/>
      </w:pPr>
      <w:r>
        <w:rPr>
          <w:i/>
          <w:iCs/>
          <w:color w:val="566573"/>
        </w:rPr>
        <w:t>« Comment l’insérer dans le travail réel »</w:t>
      </w:r>
    </w:p>
    <w:p w14:paraId="13116EA7" w14:textId="77777777" w:rsidR="00A61917" w:rsidRDefault="00000000">
      <w:pPr>
        <w:pStyle w:val="Titre2"/>
      </w:pPr>
      <w:bookmarkStart w:id="32" w:name="_Toc223038830"/>
      <w:r>
        <w:t>3.1 Modèles d’intégration dans les workflows</w:t>
      </w:r>
      <w:bookmarkEnd w:id="32"/>
    </w:p>
    <w:p w14:paraId="1ECEBCA9" w14:textId="77777777" w:rsidR="00A61917" w:rsidRDefault="00000000">
      <w:pPr>
        <w:spacing w:after="160" w:line="300" w:lineRule="auto"/>
        <w:jc w:val="both"/>
      </w:pPr>
      <w:r>
        <w:rPr>
          <w:color w:val="1C2833"/>
        </w:rPr>
        <w:t>Trois modes d’exploitation coexistent, selon le niveau de maturité de l’organisation et le niveau de risque du processus. Ces trois modes ne sont pas des étapes obligatoires : une organisation peut très bien déployer directement en Mode 2, ou maintenir certains OC en Mode 1 indéfiniment.</w:t>
      </w:r>
    </w:p>
    <w:p w14:paraId="7C285783" w14:textId="77777777" w:rsidR="00A61917" w:rsidRDefault="00000000">
      <w:pPr>
        <w:pStyle w:val="Titre3"/>
      </w:pPr>
      <w:bookmarkStart w:id="33" w:name="_Toc223038831"/>
      <w:r>
        <w:t>Mode 1 — Assistant humain</w:t>
      </w:r>
      <w:bookmarkEnd w:id="33"/>
    </w:p>
    <w:p w14:paraId="32B23EAB" w14:textId="77777777" w:rsidR="00A61917" w:rsidRDefault="00000000">
      <w:pPr>
        <w:spacing w:after="160" w:line="300" w:lineRule="auto"/>
        <w:jc w:val="both"/>
      </w:pPr>
      <w:r>
        <w:rPr>
          <w:b/>
          <w:bCs/>
          <w:color w:val="1C2833"/>
        </w:rPr>
        <w:t xml:space="preserve">Principe : </w:t>
      </w:r>
      <w:r>
        <w:rPr>
          <w:color w:val="1C2833"/>
        </w:rPr>
        <w:t>l’OC sert de guide de raisonnement que le professionnel consulte pour structurer sa propre réflexion. Pas d’IA, pas d’automatisation. L’OC est un outil de pensée documenté, comme une checklist intelligente qui intègre le « pourquoi » derrière chaque étape.</w:t>
      </w:r>
    </w:p>
    <w:p w14:paraId="7B1AE62E" w14:textId="77777777" w:rsidR="00A61917" w:rsidRDefault="00000000">
      <w:pPr>
        <w:spacing w:after="160" w:line="300" w:lineRule="auto"/>
        <w:jc w:val="both"/>
      </w:pPr>
      <w:proofErr w:type="spellStart"/>
      <w:r>
        <w:rPr>
          <w:b/>
          <w:bCs/>
          <w:color w:val="1C2833"/>
        </w:rPr>
        <w:t>Pré-requis</w:t>
      </w:r>
      <w:proofErr w:type="spellEnd"/>
      <w:r>
        <w:rPr>
          <w:b/>
          <w:bCs/>
          <w:color w:val="1C2833"/>
        </w:rPr>
        <w:t xml:space="preserve"> : </w:t>
      </w:r>
      <w:r>
        <w:rPr>
          <w:color w:val="1C2833"/>
        </w:rPr>
        <w:t>un OC validé (couches 1 à 5 complètes), un support consultable (document, page Notion, fiche imprimée), et un minimum de formation (15 minutes de prise en main).</w:t>
      </w:r>
    </w:p>
    <w:p w14:paraId="51FD7E87" w14:textId="77777777" w:rsidR="00A61917" w:rsidRDefault="00000000">
      <w:pPr>
        <w:spacing w:after="160" w:line="300" w:lineRule="auto"/>
        <w:jc w:val="both"/>
      </w:pPr>
      <w:r>
        <w:rPr>
          <w:b/>
          <w:bCs/>
          <w:color w:val="1C2833"/>
        </w:rPr>
        <w:t xml:space="preserve">Rôles : </w:t>
      </w:r>
      <w:r>
        <w:rPr>
          <w:color w:val="1C2833"/>
        </w:rPr>
        <w:t>l’opérationnel utilise, le propriétaire métier maintient, l’expert répond aux questions complexes.</w:t>
      </w:r>
    </w:p>
    <w:p w14:paraId="04EBD8CA" w14:textId="77777777" w:rsidR="00A61917" w:rsidRDefault="00000000">
      <w:pPr>
        <w:spacing w:after="160" w:line="300" w:lineRule="auto"/>
        <w:jc w:val="both"/>
      </w:pPr>
      <w:r>
        <w:rPr>
          <w:b/>
          <w:bCs/>
          <w:color w:val="1C2833"/>
        </w:rPr>
        <w:t xml:space="preserve">Garde-fous : </w:t>
      </w:r>
      <w:r>
        <w:rPr>
          <w:color w:val="1C2833"/>
        </w:rPr>
        <w:t>le raisonnement reste entièrement humain. Le risque est limité à la non-utilisation (l’OC est ignoré).</w:t>
      </w:r>
    </w:p>
    <w:p w14:paraId="66E86564" w14:textId="77777777" w:rsidR="00A61917" w:rsidRDefault="00000000">
      <w:pPr>
        <w:spacing w:after="160" w:line="300" w:lineRule="auto"/>
        <w:jc w:val="both"/>
      </w:pPr>
      <w:r>
        <w:rPr>
          <w:b/>
          <w:bCs/>
          <w:color w:val="1C2833"/>
        </w:rPr>
        <w:t xml:space="preserve">Métriques : </w:t>
      </w:r>
      <w:r>
        <w:rPr>
          <w:color w:val="1C2833"/>
        </w:rPr>
        <w:t>taux d’usage (l’OC est-il réellement consulté ?), satisfaction utilisateurs, réduction du temps de réalisation.</w:t>
      </w:r>
    </w:p>
    <w:p w14:paraId="7C86AD61" w14:textId="77777777" w:rsidR="00A61917" w:rsidRDefault="00000000">
      <w:pPr>
        <w:pStyle w:val="Titre3"/>
      </w:pPr>
      <w:bookmarkStart w:id="34" w:name="_Toc223038832"/>
      <w:r>
        <w:t>Mode 2 — Copilote IA</w:t>
      </w:r>
      <w:bookmarkEnd w:id="34"/>
    </w:p>
    <w:p w14:paraId="55B64C56" w14:textId="77777777" w:rsidR="00A61917" w:rsidRDefault="00000000">
      <w:pPr>
        <w:spacing w:after="160" w:line="300" w:lineRule="auto"/>
        <w:jc w:val="both"/>
      </w:pPr>
      <w:r>
        <w:rPr>
          <w:b/>
          <w:bCs/>
          <w:color w:val="1C2833"/>
        </w:rPr>
        <w:t xml:space="preserve">Principe : </w:t>
      </w:r>
      <w:r>
        <w:rPr>
          <w:color w:val="1C2833"/>
        </w:rPr>
        <w:t>l’OC est encodé dans un prompt système qui guide un modèle de langage (LLM). L’IA exécute le raisonnement formalisé, l’humain valide le résultat avant diffusion. Les points de contrôle sont adaptés au niveau de risque défini en couche 1.</w:t>
      </w:r>
    </w:p>
    <w:p w14:paraId="4D9B60E0" w14:textId="77777777" w:rsidR="00A61917" w:rsidRDefault="00000000">
      <w:pPr>
        <w:spacing w:after="160" w:line="300" w:lineRule="auto"/>
        <w:jc w:val="both"/>
      </w:pPr>
      <w:proofErr w:type="spellStart"/>
      <w:r>
        <w:rPr>
          <w:b/>
          <w:bCs/>
          <w:color w:val="1C2833"/>
        </w:rPr>
        <w:t>Pré-requis</w:t>
      </w:r>
      <w:proofErr w:type="spellEnd"/>
      <w:r>
        <w:rPr>
          <w:b/>
          <w:bCs/>
          <w:color w:val="1C2833"/>
        </w:rPr>
        <w:t xml:space="preserve"> : </w:t>
      </w:r>
      <w:r>
        <w:rPr>
          <w:color w:val="1C2833"/>
        </w:rPr>
        <w:t>les 7 couches de l’OC sont complètes (y compris les couches 4 et 6), un accès à un LLM (via interface ou API), un prompt système validé qui traduit les couches 2 à 5 en instructions exécutables, et un circuit de validation humaine formalisé.</w:t>
      </w:r>
    </w:p>
    <w:p w14:paraId="5CE03ED9" w14:textId="77777777" w:rsidR="00A61917" w:rsidRDefault="00000000">
      <w:pPr>
        <w:spacing w:after="160" w:line="300" w:lineRule="auto"/>
        <w:jc w:val="both"/>
      </w:pPr>
      <w:r>
        <w:rPr>
          <w:b/>
          <w:bCs/>
          <w:color w:val="1C2833"/>
        </w:rPr>
        <w:t xml:space="preserve">Rôles : </w:t>
      </w:r>
      <w:r>
        <w:rPr>
          <w:color w:val="1C2833"/>
        </w:rPr>
        <w:t>l’opérationnel soumet les entrées et valide les sorties. Le concepteur d’OC maintient le prompt système. Le propriétaire métier audite la qualité. L’équipe IT assure la disponibilité technique.</w:t>
      </w:r>
    </w:p>
    <w:p w14:paraId="21D803FE" w14:textId="77777777" w:rsidR="00A61917" w:rsidRDefault="00000000">
      <w:pPr>
        <w:spacing w:after="160" w:line="300" w:lineRule="auto"/>
        <w:jc w:val="both"/>
      </w:pPr>
      <w:r>
        <w:rPr>
          <w:b/>
          <w:bCs/>
          <w:color w:val="1C2833"/>
        </w:rPr>
        <w:t xml:space="preserve">Garde-fous : </w:t>
      </w:r>
      <w:r>
        <w:rPr>
          <w:color w:val="1C2833"/>
        </w:rPr>
        <w:t>validation humaine obligatoire avant diffusion. Journalisation des entrées/sorties. Alerte automatique en cas de détection d’anomalie (données sensibles, incohérence logique, sortie hors format). Revue périodique d’un échantillon de sorties par l’expert.</w:t>
      </w:r>
    </w:p>
    <w:p w14:paraId="771DF618" w14:textId="77777777" w:rsidR="00A61917" w:rsidRDefault="00000000">
      <w:pPr>
        <w:spacing w:after="160" w:line="300" w:lineRule="auto"/>
        <w:jc w:val="both"/>
      </w:pPr>
      <w:r>
        <w:rPr>
          <w:b/>
          <w:bCs/>
          <w:color w:val="1C2833"/>
        </w:rPr>
        <w:t xml:space="preserve">Métriques : </w:t>
      </w:r>
      <w:r>
        <w:rPr>
          <w:color w:val="1C2833"/>
        </w:rPr>
        <w:t>taux d’acceptation des sorties IA (sans modification), taux de rejet, temps de validation, nombre d’alertes déclenchées, dérive de qualité dans le temps.</w:t>
      </w:r>
    </w:p>
    <w:p w14:paraId="5376FA38" w14:textId="77777777" w:rsidR="00A61917" w:rsidRDefault="00000000">
      <w:pPr>
        <w:pStyle w:val="Titre3"/>
      </w:pPr>
      <w:bookmarkStart w:id="35" w:name="_Toc223038833"/>
      <w:r>
        <w:t>Mode 3 — Agent encadré</w:t>
      </w:r>
      <w:bookmarkEnd w:id="35"/>
    </w:p>
    <w:p w14:paraId="166A07CB" w14:textId="77777777" w:rsidR="00A61917" w:rsidRDefault="00000000">
      <w:pPr>
        <w:spacing w:after="160" w:line="300" w:lineRule="auto"/>
        <w:jc w:val="both"/>
      </w:pPr>
      <w:r>
        <w:rPr>
          <w:b/>
          <w:bCs/>
          <w:color w:val="1C2833"/>
        </w:rPr>
        <w:t xml:space="preserve">Principe : </w:t>
      </w:r>
      <w:r>
        <w:rPr>
          <w:color w:val="1C2833"/>
        </w:rPr>
        <w:t>l’OC est intégré dans un workflow automatisé (via une interface de programmation, un outil no-code, ou une chaîne de traitement). L’intervention humaine se limite aux exceptions, alertes et validations critiques. Le monitoring est continu.</w:t>
      </w:r>
    </w:p>
    <w:p w14:paraId="7CB9BB3A" w14:textId="77777777" w:rsidR="00A61917" w:rsidRDefault="00000000">
      <w:pPr>
        <w:spacing w:after="160" w:line="300" w:lineRule="auto"/>
        <w:jc w:val="both"/>
      </w:pPr>
      <w:proofErr w:type="spellStart"/>
      <w:r>
        <w:rPr>
          <w:b/>
          <w:bCs/>
          <w:color w:val="1C2833"/>
        </w:rPr>
        <w:t>Pré-requis</w:t>
      </w:r>
      <w:proofErr w:type="spellEnd"/>
      <w:r>
        <w:rPr>
          <w:b/>
          <w:bCs/>
          <w:color w:val="1C2833"/>
        </w:rPr>
        <w:t xml:space="preserve"> : </w:t>
      </w:r>
      <w:r>
        <w:rPr>
          <w:color w:val="1C2833"/>
        </w:rPr>
        <w:t>tout ce qui précède en Mode 2, plus : une intégration technique validée, des mécanismes de monitoring automatisés, un plan de reprise en cas de défaillance, et un circuit d’escalade formalisé.</w:t>
      </w:r>
    </w:p>
    <w:p w14:paraId="7C50A105" w14:textId="77777777" w:rsidR="00A61917" w:rsidRDefault="00000000">
      <w:pPr>
        <w:spacing w:after="160" w:line="300" w:lineRule="auto"/>
        <w:jc w:val="both"/>
      </w:pPr>
      <w:r>
        <w:rPr>
          <w:b/>
          <w:bCs/>
          <w:color w:val="1C2833"/>
        </w:rPr>
        <w:t xml:space="preserve">Rôles : </w:t>
      </w:r>
      <w:r>
        <w:rPr>
          <w:color w:val="1C2833"/>
        </w:rPr>
        <w:t>un responsable d’exploitation supervise le flux. Un auditeur vérifie périodiquement la conformité. Le propriétaire métier reste l’autorité finale.</w:t>
      </w:r>
    </w:p>
    <w:p w14:paraId="3C3E2DE2" w14:textId="77777777" w:rsidR="00A61917" w:rsidRDefault="00000000">
      <w:pPr>
        <w:spacing w:after="160" w:line="300" w:lineRule="auto"/>
        <w:jc w:val="both"/>
      </w:pPr>
      <w:r>
        <w:rPr>
          <w:b/>
          <w:bCs/>
          <w:color w:val="1C2833"/>
        </w:rPr>
        <w:t xml:space="preserve">Garde-fous : </w:t>
      </w:r>
      <w:r>
        <w:rPr>
          <w:color w:val="1C2833"/>
        </w:rPr>
        <w:t>alertes automatiques sur seuils prédéfinis. Arrêt automatique du flux en cas d’anomalie critique. Audit d’échantillons quotidien ou hebdomadaire selon le risque. Possibilité de basculer en Mode 2 à tout moment.</w:t>
      </w:r>
    </w:p>
    <w:p w14:paraId="387314B0" w14:textId="77777777" w:rsidR="00A61917" w:rsidRDefault="00000000">
      <w:pPr>
        <w:spacing w:after="160" w:line="300" w:lineRule="auto"/>
        <w:jc w:val="both"/>
      </w:pPr>
      <w:r>
        <w:rPr>
          <w:b/>
          <w:bCs/>
          <w:color w:val="1C2833"/>
        </w:rPr>
        <w:t xml:space="preserve">Métriques : </w:t>
      </w:r>
      <w:r>
        <w:rPr>
          <w:color w:val="1C2833"/>
        </w:rPr>
        <w:t>débit de traitement, taux d’exception, temps de résolution des alertes, taux de faux positifs/négatifs, coût par transaction.</w:t>
      </w:r>
    </w:p>
    <w:p w14:paraId="31ED78C2" w14:textId="77777777" w:rsidR="00A61917" w:rsidRDefault="00000000">
      <w:r>
        <w:br w:type="page"/>
      </w:r>
    </w:p>
    <w:p w14:paraId="7E3E75A0" w14:textId="77777777" w:rsidR="00A61917" w:rsidRDefault="00000000">
      <w:pPr>
        <w:pStyle w:val="Titre2"/>
      </w:pPr>
      <w:bookmarkStart w:id="36" w:name="_Toc223038834"/>
      <w:r>
        <w:t>3.2 Gouvernance des Objets Cognitifs</w:t>
      </w:r>
      <w:bookmarkEnd w:id="36"/>
    </w:p>
    <w:p w14:paraId="3D338272" w14:textId="77777777" w:rsidR="00A61917" w:rsidRDefault="00000000">
      <w:pPr>
        <w:spacing w:after="160" w:line="300" w:lineRule="auto"/>
        <w:jc w:val="both"/>
      </w:pPr>
      <w:r>
        <w:rPr>
          <w:color w:val="1C2833"/>
        </w:rPr>
        <w:t xml:space="preserve">La gouvernance doit être proportionnée : assez de structure pour garantir la fiabilité, pas assez pour paralyser l’usage. Le modèle ci-dessous est inspiré du Data </w:t>
      </w:r>
      <w:proofErr w:type="spellStart"/>
      <w:r>
        <w:rPr>
          <w:color w:val="1C2833"/>
        </w:rPr>
        <w:t>Mesh</w:t>
      </w:r>
      <w:proofErr w:type="spellEnd"/>
      <w:r>
        <w:rPr>
          <w:color w:val="1C2833"/>
        </w:rPr>
        <w:t xml:space="preserve"> : la responsabilité est décentralisée (chaque domaine métier gère ses OC), tandis que les standards sont centralisés.</w:t>
      </w:r>
    </w:p>
    <w:p w14:paraId="7C202B0C" w14:textId="77777777" w:rsidR="00A61917" w:rsidRDefault="00000000">
      <w:pPr>
        <w:pStyle w:val="Titre3"/>
      </w:pPr>
      <w:bookmarkStart w:id="37" w:name="_Toc223038835"/>
      <w:proofErr w:type="spellStart"/>
      <w:r>
        <w:t>Ownership</w:t>
      </w:r>
      <w:bookmarkEnd w:id="37"/>
      <w:proofErr w:type="spellEnd"/>
    </w:p>
    <w:p w14:paraId="7920712E" w14:textId="77777777" w:rsidR="00A61917" w:rsidRDefault="00000000">
      <w:pPr>
        <w:spacing w:after="160" w:line="300" w:lineRule="auto"/>
        <w:jc w:val="both"/>
      </w:pPr>
      <w:r>
        <w:rPr>
          <w:color w:val="1C2833"/>
        </w:rPr>
        <w:t>Chaque OC a un propriétaire métier identifié — pas l’IT, pas la DSI, pas « personne ». Le propriétaire est responsable de la qualité du raisonnement encapsulé, de la mise à jour, et de la décision de décommissionnement. En pratique, c’est souvent un responsable de processus ou un chef d’équipe qui connaît le métier concerné.</w:t>
      </w:r>
    </w:p>
    <w:p w14:paraId="6CA2DB6F" w14:textId="77777777" w:rsidR="00A61917" w:rsidRDefault="00000000">
      <w:pPr>
        <w:pStyle w:val="Titre3"/>
      </w:pPr>
      <w:bookmarkStart w:id="38" w:name="_Toc223038836"/>
      <w:proofErr w:type="spellStart"/>
      <w:r>
        <w:t>Versionnement</w:t>
      </w:r>
      <w:bookmarkEnd w:id="38"/>
      <w:proofErr w:type="spellEnd"/>
    </w:p>
    <w:p w14:paraId="3EC9168E" w14:textId="77777777" w:rsidR="00A61917" w:rsidRDefault="00000000">
      <w:pPr>
        <w:spacing w:after="160" w:line="300" w:lineRule="auto"/>
        <w:jc w:val="both"/>
      </w:pPr>
      <w:r>
        <w:rPr>
          <w:color w:val="1C2833"/>
        </w:rPr>
        <w:t xml:space="preserve">Deux types d’évolution : les </w:t>
      </w:r>
      <w:r>
        <w:rPr>
          <w:b/>
          <w:bCs/>
          <w:color w:val="1C2833"/>
        </w:rPr>
        <w:t xml:space="preserve">versions mineures </w:t>
      </w:r>
      <w:r>
        <w:rPr>
          <w:color w:val="1C2833"/>
        </w:rPr>
        <w:t xml:space="preserve">(v1.0 → v1.1 : corrections, ajustements de règles, ajout d’un cas limite) qui sont </w:t>
      </w:r>
      <w:proofErr w:type="spellStart"/>
      <w:r>
        <w:rPr>
          <w:color w:val="1C2833"/>
        </w:rPr>
        <w:t>rétrocompatibles</w:t>
      </w:r>
      <w:proofErr w:type="spellEnd"/>
      <w:r>
        <w:rPr>
          <w:color w:val="1C2833"/>
        </w:rPr>
        <w:t xml:space="preserve"> et ne nécessitent pas de revalidation complète, et les </w:t>
      </w:r>
      <w:r>
        <w:rPr>
          <w:b/>
          <w:bCs/>
          <w:color w:val="1C2833"/>
        </w:rPr>
        <w:t xml:space="preserve">versions majeures </w:t>
      </w:r>
      <w:r>
        <w:rPr>
          <w:color w:val="1C2833"/>
        </w:rPr>
        <w:t>(v1.x → v2.0 : restructuration du raisonnement, changement de périmètre, modification des garde-fous) qui exigent un nouveau cycle de validation et une communication aux utilisateurs.</w:t>
      </w:r>
    </w:p>
    <w:p w14:paraId="43730859" w14:textId="77777777" w:rsidR="00A61917" w:rsidRDefault="00000000">
      <w:pPr>
        <w:pStyle w:val="Titre3"/>
      </w:pPr>
      <w:bookmarkStart w:id="39" w:name="_Toc223038837"/>
      <w:r>
        <w:t>Revue qualité</w:t>
      </w:r>
      <w:bookmarkEnd w:id="39"/>
    </w:p>
    <w:p w14:paraId="2F14121A" w14:textId="77777777" w:rsidR="00A61917" w:rsidRDefault="00000000">
      <w:pPr>
        <w:spacing w:after="160" w:line="300" w:lineRule="auto"/>
        <w:jc w:val="both"/>
      </w:pPr>
      <w:r>
        <w:rPr>
          <w:color w:val="1C2833"/>
        </w:rPr>
        <w:t xml:space="preserve">Pas de comité mensuel de 2 heures. Plutôt : une </w:t>
      </w:r>
      <w:r>
        <w:rPr>
          <w:b/>
          <w:bCs/>
          <w:color w:val="1C2833"/>
        </w:rPr>
        <w:t xml:space="preserve">revue flash de 20 minutes </w:t>
      </w:r>
      <w:r>
        <w:rPr>
          <w:color w:val="1C2833"/>
        </w:rPr>
        <w:t>par OC, une fois par trimestre pour les OC actifs. L’ordre du jour tient en trois questions : les métriques d’usage sont-elles normales ? Des exceptions ou alertes inhabituelles ont-elles été signalées ? L’OC est-il toujours aligné avec la réalité du métier (règles changées, contexte évolué) ?</w:t>
      </w:r>
    </w:p>
    <w:p w14:paraId="30074C22" w14:textId="77777777" w:rsidR="00A61917" w:rsidRDefault="00000000">
      <w:pPr>
        <w:pStyle w:val="Titre3"/>
      </w:pPr>
      <w:bookmarkStart w:id="40" w:name="_Toc223038838"/>
      <w:r>
        <w:t>Catalogue</w:t>
      </w:r>
      <w:bookmarkEnd w:id="40"/>
    </w:p>
    <w:p w14:paraId="23008247" w14:textId="77777777" w:rsidR="00A61917" w:rsidRDefault="00000000">
      <w:pPr>
        <w:spacing w:after="160" w:line="300" w:lineRule="auto"/>
        <w:jc w:val="both"/>
      </w:pPr>
      <w:r>
        <w:rPr>
          <w:color w:val="1C2833"/>
        </w:rPr>
        <w:t>Les OC doivent être trouvables. Un catalogue central (une page Notion, un wiki, un tableur partagé — peu importe l’outil) recense tous les OC actifs avec leurs métadonnées : nom, version, propriétaire, statut, mode d’exploitation, lien vers la documentation complète. Le catalogue est la porte d’entrée pour quiconque veut réutiliser ou composer un OC existant.</w:t>
      </w:r>
    </w:p>
    <w:p w14:paraId="6592B409" w14:textId="77777777" w:rsidR="00A61917" w:rsidRDefault="00000000">
      <w:pPr>
        <w:pStyle w:val="Titre3"/>
      </w:pPr>
      <w:bookmarkStart w:id="41" w:name="_Toc223038839"/>
      <w:r>
        <w:t>Décommissionnement</w:t>
      </w:r>
      <w:bookmarkEnd w:id="41"/>
    </w:p>
    <w:p w14:paraId="481199BB" w14:textId="77777777" w:rsidR="00A61917" w:rsidRDefault="00000000">
      <w:pPr>
        <w:spacing w:after="160" w:line="300" w:lineRule="auto"/>
        <w:jc w:val="both"/>
      </w:pPr>
      <w:r>
        <w:rPr>
          <w:color w:val="1C2833"/>
        </w:rPr>
        <w:t>Un OC doit être retiré quand il n’est plus utilisé (taux d’usage nul sur 3 mois), quand le processus sous-jacent a disparu, ou quand il a été remplacé par un OC plus complet. Le décommissionnement suit un protocole simple : notification aux utilisateurs actifs, période de transition (1 mois), puis archivage (pas de suppression — l’historique est préservé).</w:t>
      </w:r>
    </w:p>
    <w:p w14:paraId="66437A51" w14:textId="77777777" w:rsidR="00A61917" w:rsidRDefault="00000000">
      <w:pPr>
        <w:pStyle w:val="Titre2"/>
      </w:pPr>
      <w:bookmarkStart w:id="42" w:name="_Toc223038840"/>
      <w:r>
        <w:t>3.3 Conduite du changement</w:t>
      </w:r>
      <w:bookmarkEnd w:id="42"/>
    </w:p>
    <w:p w14:paraId="45B85808" w14:textId="77777777" w:rsidR="00A61917" w:rsidRDefault="00000000">
      <w:pPr>
        <w:spacing w:after="160" w:line="300" w:lineRule="auto"/>
        <w:jc w:val="both"/>
      </w:pPr>
      <w:r>
        <w:rPr>
          <w:color w:val="1C2833"/>
        </w:rPr>
        <w:t>Le facteur humain détermine le succès ou l’échec du déploiement. Voici les quatre défis concrets et comment les traiter.</w:t>
      </w:r>
    </w:p>
    <w:p w14:paraId="4C16063E" w14:textId="77777777" w:rsidR="00A61917" w:rsidRDefault="00000000">
      <w:pPr>
        <w:pStyle w:val="Titre3"/>
      </w:pPr>
      <w:bookmarkStart w:id="43" w:name="_Toc223038841"/>
      <w:r>
        <w:t>Expliquer le concept en 5 minutes</w:t>
      </w:r>
      <w:bookmarkEnd w:id="43"/>
    </w:p>
    <w:p w14:paraId="03FA627A" w14:textId="77777777" w:rsidR="00A61917" w:rsidRDefault="00000000">
      <w:pPr>
        <w:spacing w:after="160" w:line="300" w:lineRule="auto"/>
        <w:jc w:val="both"/>
      </w:pPr>
      <w:r>
        <w:rPr>
          <w:color w:val="1C2833"/>
        </w:rPr>
        <w:t xml:space="preserve">N’utilisez jamais le mot « cognitif » en première approche. Commencez par la métaphore de la recette du chef : </w:t>
      </w:r>
      <w:r>
        <w:rPr>
          <w:i/>
          <w:iCs/>
          <w:color w:val="566573"/>
        </w:rPr>
        <w:t xml:space="preserve">« Vous connaissez la différence entre une recette dans un livre de cuisine et la recette que le chef transmet à son second, avec toutes ses astuces et ses mises en garde ? Un Objet Cognitif, c’est la deuxième version, appliquée à nos processus métier. » </w:t>
      </w:r>
      <w:r>
        <w:rPr>
          <w:color w:val="1C2833"/>
        </w:rPr>
        <w:t>Puis montrez un exemple concret : le compte-rendu de réunion avant/après. C’est suffisant pour démarrer.</w:t>
      </w:r>
    </w:p>
    <w:p w14:paraId="37A08FA7" w14:textId="77777777" w:rsidR="00A61917" w:rsidRDefault="00000000">
      <w:pPr>
        <w:pStyle w:val="Titre3"/>
      </w:pPr>
      <w:bookmarkStart w:id="44" w:name="_Toc223038842"/>
      <w:r>
        <w:t>Gérer la résistance des experts</w:t>
      </w:r>
      <w:bookmarkEnd w:id="44"/>
    </w:p>
    <w:p w14:paraId="25B3CF63" w14:textId="77777777" w:rsidR="00A61917" w:rsidRDefault="00000000">
      <w:pPr>
        <w:spacing w:after="160" w:line="300" w:lineRule="auto"/>
        <w:jc w:val="both"/>
      </w:pPr>
      <w:r>
        <w:rPr>
          <w:color w:val="1C2833"/>
        </w:rPr>
        <w:t xml:space="preserve">La crainte principale de l’expert : « Vous voulez remplacer mon expertise par une fiche. » La réponse doit être sincère : </w:t>
      </w:r>
      <w:r>
        <w:rPr>
          <w:i/>
          <w:iCs/>
          <w:color w:val="566573"/>
        </w:rPr>
        <w:t xml:space="preserve">« Non. Votre expertise est irremplaçable — c’est justement pour ça qu’on veut la protéger. L’OC permet que votre savoir-faire survive à votre prochain changement de poste et qu’il serve à vos collègues même quand vous n’êtes pas disponible. Vous restez l’autorité finale. » </w:t>
      </w:r>
      <w:r>
        <w:rPr>
          <w:color w:val="1C2833"/>
        </w:rPr>
        <w:t>Impliquez l’expert dans la conception et la validation : c’est son nom sur l’OC, c’est son raisonnement. Il doit en être fier, pas menacé.</w:t>
      </w:r>
    </w:p>
    <w:p w14:paraId="7E27DB02" w14:textId="77777777" w:rsidR="00A61917" w:rsidRDefault="00000000">
      <w:pPr>
        <w:pStyle w:val="Titre3"/>
      </w:pPr>
      <w:bookmarkStart w:id="45" w:name="_Toc223038843"/>
      <w:r>
        <w:t>Éviter le POC décoratif</w:t>
      </w:r>
      <w:bookmarkEnd w:id="45"/>
    </w:p>
    <w:p w14:paraId="5A09D7F5" w14:textId="77777777" w:rsidR="00A61917" w:rsidRDefault="00000000">
      <w:pPr>
        <w:spacing w:after="160" w:line="300" w:lineRule="auto"/>
        <w:jc w:val="both"/>
      </w:pPr>
      <w:r>
        <w:rPr>
          <w:color w:val="1C2833"/>
        </w:rPr>
        <w:t>Le syndrome du POC vitrine : un OC brillamment conçu, présenté en comité de direction, puis jamais utilisé en conditions réelles. Pour l’éviter, trois règles : choisissez un premier OC sur un processus qui fait vraiment mal (pas un sujet anecdotique), intégrez-le dans le flux de travail existant (pas un outil « à côté »), et mesurez son impact dès la première semaine (même des métriques simples : temps gagné, erreurs évitées, satisfaction).</w:t>
      </w:r>
    </w:p>
    <w:p w14:paraId="46AEB223" w14:textId="77777777" w:rsidR="00A61917" w:rsidRDefault="00000000">
      <w:pPr>
        <w:pStyle w:val="Titre3"/>
      </w:pPr>
      <w:bookmarkStart w:id="46" w:name="_Toc223038844"/>
      <w:r>
        <w:t>Créer les premiers ambassadeurs</w:t>
      </w:r>
      <w:bookmarkEnd w:id="46"/>
    </w:p>
    <w:p w14:paraId="36F4C447" w14:textId="77777777" w:rsidR="00A61917" w:rsidRDefault="00000000">
      <w:pPr>
        <w:spacing w:after="160" w:line="300" w:lineRule="auto"/>
        <w:jc w:val="both"/>
      </w:pPr>
      <w:r>
        <w:rPr>
          <w:color w:val="1C2833"/>
        </w:rPr>
        <w:t xml:space="preserve">Identifiez 2 à 3 opérationnels qui sont à la fois curieux, crédibles auprès de leurs pairs, et suffisamment critiques pour ne pas tout accepter. Formez-les en priorité. Donnez-leur un accès anticipé au premier OC. Leurs retours amélioreront l’OC, et leur témoignage </w:t>
      </w:r>
      <w:proofErr w:type="spellStart"/>
      <w:r>
        <w:rPr>
          <w:color w:val="1C2833"/>
        </w:rPr>
        <w:t>convàincra</w:t>
      </w:r>
      <w:proofErr w:type="spellEnd"/>
      <w:r>
        <w:rPr>
          <w:color w:val="1C2833"/>
        </w:rPr>
        <w:t xml:space="preserve"> mieux que n’importe quelle présentation PowerPoint.</w:t>
      </w:r>
    </w:p>
    <w:p w14:paraId="671AB048" w14:textId="77777777" w:rsidR="00A61917" w:rsidRDefault="00000000">
      <w:r>
        <w:br w:type="page"/>
      </w:r>
    </w:p>
    <w:p w14:paraId="05E9A7DB" w14:textId="77777777" w:rsidR="00A61917" w:rsidRDefault="00000000">
      <w:pPr>
        <w:pStyle w:val="Titre1"/>
      </w:pPr>
      <w:bookmarkStart w:id="47" w:name="_Toc223038845"/>
      <w:r>
        <w:t>Partie 4 — Amélioration continue et maturité</w:t>
      </w:r>
      <w:bookmarkEnd w:id="47"/>
    </w:p>
    <w:p w14:paraId="6FD92D09" w14:textId="77777777" w:rsidR="00A61917" w:rsidRDefault="00000000">
      <w:pPr>
        <w:spacing w:after="160" w:line="300" w:lineRule="auto"/>
        <w:jc w:val="both"/>
      </w:pPr>
      <w:r>
        <w:rPr>
          <w:i/>
          <w:iCs/>
          <w:color w:val="566573"/>
        </w:rPr>
        <w:t>« Comment faire vivre l’écosystème dans la durée »</w:t>
      </w:r>
    </w:p>
    <w:p w14:paraId="79A1A01C" w14:textId="77777777" w:rsidR="00A61917" w:rsidRDefault="00000000">
      <w:pPr>
        <w:pStyle w:val="Titre2"/>
      </w:pPr>
      <w:bookmarkStart w:id="48" w:name="_Toc223038846"/>
      <w:r>
        <w:t>4.1 Métriques d’évaluation</w:t>
      </w:r>
      <w:bookmarkEnd w:id="48"/>
    </w:p>
    <w:p w14:paraId="48885D77" w14:textId="77777777" w:rsidR="00A61917" w:rsidRDefault="00000000">
      <w:pPr>
        <w:spacing w:after="160" w:line="300" w:lineRule="auto"/>
        <w:jc w:val="both"/>
      </w:pPr>
      <w:r>
        <w:rPr>
          <w:color w:val="1C2833"/>
        </w:rPr>
        <w:t>Le pilotage s’organise sur trois niveaux : l’OC individuel, l’écosystème d’OC, et l’organisation dans son ensemble.</w:t>
      </w:r>
    </w:p>
    <w:p w14:paraId="32766B7C" w14:textId="77777777" w:rsidR="00A61917" w:rsidRDefault="00000000">
      <w:pPr>
        <w:pStyle w:val="Titre3"/>
      </w:pPr>
      <w:bookmarkStart w:id="49" w:name="_Toc223038847"/>
      <w:r>
        <w:t>Niveau 1 — OC individuel</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63"/>
        <w:gridCol w:w="2763"/>
      </w:tblGrid>
      <w:tr w:rsidR="00A61917" w14:paraId="5F0E3D66"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40631F1" w14:textId="77777777" w:rsidR="00A61917" w:rsidRDefault="00000000">
            <w:pPr>
              <w:jc w:val="center"/>
            </w:pPr>
            <w:r>
              <w:rPr>
                <w:b/>
                <w:bCs/>
                <w:color w:val="FFFFFF"/>
                <w:sz w:val="20"/>
                <w:szCs w:val="20"/>
              </w:rPr>
              <w:t>Métrique</w:t>
            </w:r>
          </w:p>
        </w:tc>
        <w:tc>
          <w:tcPr>
            <w:tcW w:w="376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CB69F5F" w14:textId="77777777" w:rsidR="00A61917" w:rsidRDefault="00000000">
            <w:pPr>
              <w:jc w:val="center"/>
            </w:pPr>
            <w:r>
              <w:rPr>
                <w:b/>
                <w:bCs/>
                <w:color w:val="FFFFFF"/>
                <w:sz w:val="20"/>
                <w:szCs w:val="20"/>
              </w:rPr>
              <w:t>Définition</w:t>
            </w:r>
          </w:p>
        </w:tc>
        <w:tc>
          <w:tcPr>
            <w:tcW w:w="276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50D01E4" w14:textId="77777777" w:rsidR="00A61917" w:rsidRDefault="00000000">
            <w:pPr>
              <w:jc w:val="center"/>
            </w:pPr>
            <w:r>
              <w:rPr>
                <w:b/>
                <w:bCs/>
                <w:color w:val="FFFFFF"/>
                <w:sz w:val="20"/>
                <w:szCs w:val="20"/>
              </w:rPr>
              <w:t>Seuil d’alerte</w:t>
            </w:r>
          </w:p>
        </w:tc>
      </w:tr>
      <w:tr w:rsidR="00A61917" w14:paraId="0F26A9B6"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40566D63" w14:textId="77777777" w:rsidR="00A61917" w:rsidRDefault="00000000">
            <w:pPr>
              <w:spacing w:after="40"/>
            </w:pPr>
            <w:r>
              <w:rPr>
                <w:b/>
                <w:bCs/>
                <w:color w:val="1C2833"/>
              </w:rPr>
              <w:t>Fiabilité du raisonnement</w:t>
            </w:r>
          </w:p>
        </w:tc>
        <w:tc>
          <w:tcPr>
            <w:tcW w:w="37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4EAF480E" w14:textId="77777777" w:rsidR="00A61917" w:rsidRDefault="00000000">
            <w:pPr>
              <w:spacing w:after="40"/>
            </w:pPr>
            <w:r>
              <w:rPr>
                <w:color w:val="1C2833"/>
                <w:sz w:val="20"/>
                <w:szCs w:val="20"/>
              </w:rPr>
              <w:t>Pourcentage de sorties jugées correctes par l’expert ou un évaluateur qualifié, sur un échantillon mensuel.</w:t>
            </w:r>
          </w:p>
        </w:tc>
        <w:tc>
          <w:tcPr>
            <w:tcW w:w="27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356C19CD" w14:textId="77777777" w:rsidR="00A61917" w:rsidRDefault="00000000">
            <w:pPr>
              <w:spacing w:after="40"/>
            </w:pPr>
            <w:r>
              <w:rPr>
                <w:color w:val="1C2833"/>
                <w:sz w:val="20"/>
                <w:szCs w:val="20"/>
              </w:rPr>
              <w:t>&lt; 80 % (risque bas), &lt; 90 % (risque moyen), &lt; 95 % (risque haut/critique)</w:t>
            </w:r>
          </w:p>
        </w:tc>
      </w:tr>
      <w:tr w:rsidR="00A61917" w14:paraId="724F02D1"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9497598" w14:textId="77777777" w:rsidR="00A61917" w:rsidRDefault="00000000">
            <w:pPr>
              <w:spacing w:after="40"/>
            </w:pPr>
            <w:r>
              <w:rPr>
                <w:b/>
                <w:bCs/>
                <w:color w:val="1C2833"/>
              </w:rPr>
              <w:t>Taux d’usage</w:t>
            </w:r>
          </w:p>
        </w:tc>
        <w:tc>
          <w:tcPr>
            <w:tcW w:w="376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231372F" w14:textId="77777777" w:rsidR="00A61917" w:rsidRDefault="00000000">
            <w:pPr>
              <w:spacing w:after="40"/>
            </w:pPr>
            <w:r>
              <w:rPr>
                <w:color w:val="1C2833"/>
                <w:sz w:val="20"/>
                <w:szCs w:val="20"/>
              </w:rPr>
              <w:t>Nombre d’exécutions réelles par semaine / nombre d’exécutions attendues.</w:t>
            </w:r>
          </w:p>
        </w:tc>
        <w:tc>
          <w:tcPr>
            <w:tcW w:w="276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51F06A6" w14:textId="77777777" w:rsidR="00A61917" w:rsidRDefault="00000000">
            <w:pPr>
              <w:spacing w:after="40"/>
            </w:pPr>
            <w:r>
              <w:rPr>
                <w:color w:val="1C2833"/>
                <w:sz w:val="20"/>
                <w:szCs w:val="20"/>
              </w:rPr>
              <w:t>&lt; 50 % = problème d’adoption ou d’accessibilité</w:t>
            </w:r>
          </w:p>
        </w:tc>
      </w:tr>
      <w:tr w:rsidR="00A61917" w14:paraId="557F0B0C"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5C2BF712" w14:textId="77777777" w:rsidR="00A61917" w:rsidRDefault="00000000">
            <w:pPr>
              <w:spacing w:after="40"/>
            </w:pPr>
            <w:r>
              <w:rPr>
                <w:b/>
                <w:bCs/>
                <w:color w:val="1C2833"/>
              </w:rPr>
              <w:t>Fréquence des exceptions</w:t>
            </w:r>
          </w:p>
        </w:tc>
        <w:tc>
          <w:tcPr>
            <w:tcW w:w="37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1DB26427" w14:textId="77777777" w:rsidR="00A61917" w:rsidRDefault="00000000">
            <w:pPr>
              <w:spacing w:after="40"/>
            </w:pPr>
            <w:r>
              <w:rPr>
                <w:color w:val="1C2833"/>
                <w:sz w:val="20"/>
                <w:szCs w:val="20"/>
              </w:rPr>
              <w:t>Nombre de cas où l’OC a déclenché une alerte ou n’a pas pu traiter le cas, rapporté au nombre total d’exécutions.</w:t>
            </w:r>
          </w:p>
        </w:tc>
        <w:tc>
          <w:tcPr>
            <w:tcW w:w="276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5FB8F43F" w14:textId="77777777" w:rsidR="00A61917" w:rsidRDefault="00000000">
            <w:pPr>
              <w:spacing w:after="40"/>
            </w:pPr>
            <w:r>
              <w:rPr>
                <w:color w:val="1C2833"/>
                <w:sz w:val="20"/>
                <w:szCs w:val="20"/>
              </w:rPr>
              <w:t>&gt; 20 % = le périmètre ou les règles sont à revoir</w:t>
            </w:r>
          </w:p>
        </w:tc>
      </w:tr>
      <w:tr w:rsidR="00A61917" w14:paraId="6CC00C07"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5D7B65C" w14:textId="77777777" w:rsidR="00A61917" w:rsidRDefault="00000000">
            <w:pPr>
              <w:spacing w:after="40"/>
            </w:pPr>
            <w:r>
              <w:rPr>
                <w:b/>
                <w:bCs/>
                <w:color w:val="1C2833"/>
              </w:rPr>
              <w:t>Satisfaction utilisateurs</w:t>
            </w:r>
          </w:p>
        </w:tc>
        <w:tc>
          <w:tcPr>
            <w:tcW w:w="376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F7BA995" w14:textId="77777777" w:rsidR="00A61917" w:rsidRDefault="00000000">
            <w:pPr>
              <w:spacing w:after="40"/>
            </w:pPr>
            <w:r>
              <w:rPr>
                <w:color w:val="1C2833"/>
                <w:sz w:val="20"/>
                <w:szCs w:val="20"/>
              </w:rPr>
              <w:t>Score simple (utile / pas utile / gênant) recueilli de manière non intrusive (un clic après chaque utilisation).</w:t>
            </w:r>
          </w:p>
        </w:tc>
        <w:tc>
          <w:tcPr>
            <w:tcW w:w="276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625A1E2" w14:textId="77777777" w:rsidR="00A61917" w:rsidRDefault="00000000">
            <w:pPr>
              <w:spacing w:after="40"/>
            </w:pPr>
            <w:r>
              <w:rPr>
                <w:color w:val="1C2833"/>
                <w:sz w:val="20"/>
                <w:szCs w:val="20"/>
              </w:rPr>
              <w:t>&gt; 30 % de « gênant » = problème</w:t>
            </w:r>
          </w:p>
        </w:tc>
      </w:tr>
    </w:tbl>
    <w:p w14:paraId="1E9A59D6" w14:textId="77777777" w:rsidR="00A61917" w:rsidRDefault="00A61917">
      <w:pPr>
        <w:spacing w:after="200"/>
      </w:pPr>
    </w:p>
    <w:p w14:paraId="227532CC" w14:textId="77777777" w:rsidR="00A61917" w:rsidRDefault="00000000">
      <w:pPr>
        <w:pStyle w:val="Titre3"/>
      </w:pPr>
      <w:bookmarkStart w:id="50" w:name="_Toc223038848"/>
      <w:r>
        <w:t>Niveau 2 — Écosystème</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26"/>
        <w:gridCol w:w="2500"/>
      </w:tblGrid>
      <w:tr w:rsidR="00A61917" w14:paraId="008F2F74"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52A7D9A" w14:textId="77777777" w:rsidR="00A61917" w:rsidRDefault="00000000">
            <w:pPr>
              <w:jc w:val="center"/>
            </w:pPr>
            <w:r>
              <w:rPr>
                <w:b/>
                <w:bCs/>
                <w:color w:val="FFFFFF"/>
                <w:sz w:val="20"/>
                <w:szCs w:val="20"/>
              </w:rPr>
              <w:t>Métrique</w:t>
            </w:r>
          </w:p>
        </w:tc>
        <w:tc>
          <w:tcPr>
            <w:tcW w:w="40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A2126FB" w14:textId="77777777" w:rsidR="00A61917" w:rsidRDefault="00000000">
            <w:pPr>
              <w:jc w:val="center"/>
            </w:pPr>
            <w:r>
              <w:rPr>
                <w:b/>
                <w:bCs/>
                <w:color w:val="FFFFFF"/>
                <w:sz w:val="20"/>
                <w:szCs w:val="20"/>
              </w:rPr>
              <w:t>Définition</w:t>
            </w:r>
          </w:p>
        </w:tc>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4E14133" w14:textId="77777777" w:rsidR="00A61917" w:rsidRDefault="00000000">
            <w:pPr>
              <w:jc w:val="center"/>
            </w:pPr>
            <w:r>
              <w:rPr>
                <w:b/>
                <w:bCs/>
                <w:color w:val="FFFFFF"/>
                <w:sz w:val="20"/>
                <w:szCs w:val="20"/>
              </w:rPr>
              <w:t>Cible à 12 mois</w:t>
            </w:r>
          </w:p>
        </w:tc>
      </w:tr>
      <w:tr w:rsidR="00A61917" w14:paraId="09537BB0"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101C143D" w14:textId="77777777" w:rsidR="00A61917" w:rsidRDefault="00000000">
            <w:pPr>
              <w:spacing w:after="40"/>
            </w:pPr>
            <w:r>
              <w:rPr>
                <w:b/>
                <w:bCs/>
                <w:color w:val="1C2833"/>
              </w:rPr>
              <w:t>Nombre d’OC actifs</w:t>
            </w:r>
          </w:p>
        </w:tc>
        <w:tc>
          <w:tcPr>
            <w:tcW w:w="4026"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20412A40" w14:textId="77777777" w:rsidR="00A61917" w:rsidRDefault="00000000">
            <w:pPr>
              <w:spacing w:after="40"/>
            </w:pPr>
            <w:r>
              <w:rPr>
                <w:color w:val="1C2833"/>
                <w:sz w:val="20"/>
                <w:szCs w:val="20"/>
              </w:rPr>
              <w:t>OC en statut « actif » dans le catalogue, avec au moins une exécution dans les 30 derniers jours.</w:t>
            </w:r>
          </w:p>
        </w:tc>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7EFEA02B" w14:textId="77777777" w:rsidR="00A61917" w:rsidRDefault="00000000">
            <w:pPr>
              <w:spacing w:after="40"/>
            </w:pPr>
            <w:r>
              <w:rPr>
                <w:color w:val="1C2833"/>
                <w:sz w:val="20"/>
                <w:szCs w:val="20"/>
              </w:rPr>
              <w:t>5 à 15 (PME), 15 à 50 (ETI/GG)</w:t>
            </w:r>
          </w:p>
        </w:tc>
      </w:tr>
      <w:tr w:rsidR="00A61917" w14:paraId="6417CF99"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2BCB393" w14:textId="77777777" w:rsidR="00A61917" w:rsidRDefault="00000000">
            <w:pPr>
              <w:spacing w:after="40"/>
            </w:pPr>
            <w:r>
              <w:rPr>
                <w:b/>
                <w:bCs/>
                <w:color w:val="1C2833"/>
              </w:rPr>
              <w:t>Couverture des processus critiques</w:t>
            </w:r>
          </w:p>
        </w:tc>
        <w:tc>
          <w:tcPr>
            <w:tcW w:w="40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C4207C8" w14:textId="77777777" w:rsidR="00A61917" w:rsidRDefault="00000000">
            <w:pPr>
              <w:spacing w:after="40"/>
            </w:pPr>
            <w:r>
              <w:rPr>
                <w:color w:val="1C2833"/>
                <w:sz w:val="20"/>
                <w:szCs w:val="20"/>
              </w:rPr>
              <w:t>Pourcentage des processus classés « critiques » qui sont couverts par au moins un OC.</w:t>
            </w:r>
          </w:p>
        </w:tc>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C318DC1" w14:textId="77777777" w:rsidR="00A61917" w:rsidRDefault="00000000">
            <w:pPr>
              <w:spacing w:after="40"/>
            </w:pPr>
            <w:r>
              <w:rPr>
                <w:color w:val="1C2833"/>
                <w:sz w:val="20"/>
                <w:szCs w:val="20"/>
              </w:rPr>
              <w:t>&gt; 30 % (horizon 2)</w:t>
            </w:r>
          </w:p>
        </w:tc>
      </w:tr>
      <w:tr w:rsidR="00A61917" w14:paraId="5AEBFA29"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0083FA0D" w14:textId="77777777" w:rsidR="00A61917" w:rsidRDefault="00000000">
            <w:pPr>
              <w:spacing w:after="40"/>
            </w:pPr>
            <w:r>
              <w:rPr>
                <w:b/>
                <w:bCs/>
                <w:color w:val="1C2833"/>
              </w:rPr>
              <w:t>Taux de composition</w:t>
            </w:r>
          </w:p>
        </w:tc>
        <w:tc>
          <w:tcPr>
            <w:tcW w:w="4026"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621C738D" w14:textId="77777777" w:rsidR="00A61917" w:rsidRDefault="00000000">
            <w:pPr>
              <w:spacing w:after="40"/>
            </w:pPr>
            <w:r>
              <w:rPr>
                <w:color w:val="1C2833"/>
                <w:sz w:val="20"/>
                <w:szCs w:val="20"/>
              </w:rPr>
              <w:t>Pourcentage d’OC dont la sortie alimente au moins un autre OC.</w:t>
            </w:r>
          </w:p>
        </w:tc>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7889D637" w14:textId="77777777" w:rsidR="00A61917" w:rsidRDefault="00000000">
            <w:pPr>
              <w:spacing w:after="40"/>
            </w:pPr>
            <w:r>
              <w:rPr>
                <w:color w:val="1C2833"/>
                <w:sz w:val="20"/>
                <w:szCs w:val="20"/>
              </w:rPr>
              <w:t>&gt; 20 % (horizon 3)</w:t>
            </w:r>
          </w:p>
        </w:tc>
      </w:tr>
    </w:tbl>
    <w:p w14:paraId="29E8CC3D" w14:textId="77777777" w:rsidR="00A61917" w:rsidRDefault="00A61917">
      <w:pPr>
        <w:spacing w:after="200"/>
      </w:pPr>
    </w:p>
    <w:p w14:paraId="62F015BA" w14:textId="77777777" w:rsidR="00A61917" w:rsidRDefault="00000000">
      <w:pPr>
        <w:pStyle w:val="Titre3"/>
      </w:pPr>
      <w:bookmarkStart w:id="51" w:name="_Toc223038849"/>
      <w:r>
        <w:t>Niveau 3 — Organisation</w:t>
      </w:r>
      <w:bookmarkEnd w:id="51"/>
    </w:p>
    <w:p w14:paraId="2F7E6B0B" w14:textId="77777777" w:rsidR="00A61917" w:rsidRDefault="00000000">
      <w:pPr>
        <w:spacing w:after="160" w:line="300" w:lineRule="auto"/>
        <w:jc w:val="both"/>
      </w:pPr>
      <w:r>
        <w:rPr>
          <w:color w:val="1C2833"/>
        </w:rPr>
        <w:t xml:space="preserve">Les indicateurs d’impact organisationnel sont plus difficiles à mesurer mais essentiels pour justifier l’investissement : </w:t>
      </w:r>
      <w:r>
        <w:rPr>
          <w:b/>
          <w:bCs/>
          <w:color w:val="1C2833"/>
        </w:rPr>
        <w:t xml:space="preserve">qualité des décisions </w:t>
      </w:r>
      <w:r>
        <w:rPr>
          <w:color w:val="1C2833"/>
        </w:rPr>
        <w:t xml:space="preserve">(réduction des décisions inversées ou remises en cause dans les 30 jours), </w:t>
      </w:r>
      <w:r>
        <w:rPr>
          <w:b/>
          <w:bCs/>
          <w:color w:val="1C2833"/>
        </w:rPr>
        <w:t xml:space="preserve">réduction du </w:t>
      </w:r>
      <w:proofErr w:type="spellStart"/>
      <w:r>
        <w:rPr>
          <w:b/>
          <w:bCs/>
          <w:color w:val="1C2833"/>
        </w:rPr>
        <w:t>rework</w:t>
      </w:r>
      <w:proofErr w:type="spellEnd"/>
      <w:r>
        <w:rPr>
          <w:b/>
          <w:bCs/>
          <w:color w:val="1C2833"/>
        </w:rPr>
        <w:t xml:space="preserve"> </w:t>
      </w:r>
      <w:r>
        <w:rPr>
          <w:color w:val="1C2833"/>
        </w:rPr>
        <w:t xml:space="preserve">(nombre de boucles de validation avant approbation), </w:t>
      </w:r>
      <w:r>
        <w:rPr>
          <w:b/>
          <w:bCs/>
          <w:color w:val="1C2833"/>
        </w:rPr>
        <w:t xml:space="preserve">capitalisation du savoir-faire </w:t>
      </w:r>
      <w:r>
        <w:rPr>
          <w:color w:val="1C2833"/>
        </w:rPr>
        <w:t xml:space="preserve">(temps d’intégration d’un nouveau collaborateur sur les processus couverts par un OC), et </w:t>
      </w:r>
      <w:r>
        <w:rPr>
          <w:b/>
          <w:bCs/>
          <w:color w:val="1C2833"/>
        </w:rPr>
        <w:t xml:space="preserve">réduction du </w:t>
      </w:r>
      <w:proofErr w:type="spellStart"/>
      <w:r>
        <w:rPr>
          <w:b/>
          <w:bCs/>
          <w:color w:val="1C2833"/>
        </w:rPr>
        <w:t>shadow</w:t>
      </w:r>
      <w:proofErr w:type="spellEnd"/>
      <w:r>
        <w:rPr>
          <w:b/>
          <w:bCs/>
          <w:color w:val="1C2833"/>
        </w:rPr>
        <w:t xml:space="preserve"> AI </w:t>
      </w:r>
      <w:r>
        <w:rPr>
          <w:color w:val="1C2833"/>
        </w:rPr>
        <w:t>(diminution des usages IA non encadrés, mesurée par enquête périodique).</w:t>
      </w:r>
    </w:p>
    <w:p w14:paraId="1FDD631C" w14:textId="77777777" w:rsidR="00A61917" w:rsidRDefault="00000000">
      <w:pPr>
        <w:pStyle w:val="Titre2"/>
      </w:pPr>
      <w:bookmarkStart w:id="52" w:name="_Toc223038850"/>
      <w:r>
        <w:t>4.2 Boucles d’apprentissage</w:t>
      </w:r>
      <w:bookmarkEnd w:id="52"/>
    </w:p>
    <w:p w14:paraId="0B2FE20C" w14:textId="77777777" w:rsidR="00A61917" w:rsidRDefault="00000000">
      <w:pPr>
        <w:spacing w:after="160" w:line="300" w:lineRule="auto"/>
        <w:jc w:val="both"/>
      </w:pPr>
      <w:r>
        <w:rPr>
          <w:color w:val="1C2833"/>
        </w:rPr>
        <w:t>Un OC qui ne s’améliore pas devient obsolète. Trois mécanismes d’amélioration continue sont à mettre en place dès le premier déploiement.</w:t>
      </w:r>
    </w:p>
    <w:p w14:paraId="46FF94AA" w14:textId="77777777" w:rsidR="00A61917" w:rsidRDefault="00000000">
      <w:pPr>
        <w:pStyle w:val="Titre3"/>
      </w:pPr>
      <w:bookmarkStart w:id="53" w:name="_Toc223038851"/>
      <w:r>
        <w:t>Retours structurés des utilisateurs</w:t>
      </w:r>
      <w:bookmarkEnd w:id="53"/>
    </w:p>
    <w:p w14:paraId="55F72156" w14:textId="77777777" w:rsidR="00A61917" w:rsidRDefault="00000000">
      <w:pPr>
        <w:spacing w:after="160" w:line="300" w:lineRule="auto"/>
        <w:jc w:val="both"/>
      </w:pPr>
      <w:r>
        <w:rPr>
          <w:color w:val="1C2833"/>
        </w:rPr>
        <w:t xml:space="preserve">Pas un formulaire de satisfaction générique. Un </w:t>
      </w:r>
      <w:r>
        <w:rPr>
          <w:b/>
          <w:bCs/>
          <w:color w:val="1C2833"/>
        </w:rPr>
        <w:t xml:space="preserve">mécanisme de signalement en 3 clics </w:t>
      </w:r>
      <w:r>
        <w:rPr>
          <w:color w:val="1C2833"/>
        </w:rPr>
        <w:t xml:space="preserve">intégré au workflow : « La sortie était correcte / La sortie était incorrecte (précisez) / J’ai rencontré un cas non prévu (décrivez). » Les signalements alimentent un </w:t>
      </w:r>
      <w:proofErr w:type="spellStart"/>
      <w:r>
        <w:rPr>
          <w:color w:val="1C2833"/>
        </w:rPr>
        <w:t>backlog</w:t>
      </w:r>
      <w:proofErr w:type="spellEnd"/>
      <w:r>
        <w:rPr>
          <w:color w:val="1C2833"/>
        </w:rPr>
        <w:t xml:space="preserve"> de maintenance que le propriétaire de l’OC traite lors de la revue trimestrielle — ou plus tôt si un pattern critique émerge.</w:t>
      </w:r>
    </w:p>
    <w:p w14:paraId="04C6C972" w14:textId="77777777" w:rsidR="00A61917" w:rsidRDefault="00000000">
      <w:pPr>
        <w:pStyle w:val="Titre3"/>
      </w:pPr>
      <w:bookmarkStart w:id="54" w:name="_Toc223038852"/>
      <w:r>
        <w:t>Analyse des exceptions et dérives</w:t>
      </w:r>
      <w:bookmarkEnd w:id="54"/>
    </w:p>
    <w:p w14:paraId="592ACECA" w14:textId="77777777" w:rsidR="00A61917" w:rsidRDefault="00000000">
      <w:pPr>
        <w:spacing w:after="160" w:line="300" w:lineRule="auto"/>
        <w:jc w:val="both"/>
      </w:pPr>
      <w:r>
        <w:rPr>
          <w:color w:val="1C2833"/>
        </w:rPr>
        <w:t>Chaque exception signalée par un garde-fou est une opportunité d’apprentissage. Le propriétaire de l’OC analyse les exceptions mensuellement pour identifier trois types de signaux : les faux positifs récurrents (le garde-fou est trop sensible, à recalibrer), les vrais positifs non anticipés (nouveau cas limite à intégrer dans la couche 3), et les dérives de qualité (baisse progressive du taux de fiabilité, souvent liée à un changement de contexte métier non répercuté dans l’OC).</w:t>
      </w:r>
    </w:p>
    <w:p w14:paraId="5A4BF3F2" w14:textId="77777777" w:rsidR="00A61917" w:rsidRDefault="00000000">
      <w:pPr>
        <w:pStyle w:val="Titre3"/>
      </w:pPr>
      <w:bookmarkStart w:id="55" w:name="_Toc223038853"/>
      <w:r>
        <w:t>Cycle de révision planifié</w:t>
      </w:r>
      <w:bookmarkEnd w:id="55"/>
    </w:p>
    <w:p w14:paraId="2EDA7F94" w14:textId="77777777" w:rsidR="00A61917" w:rsidRDefault="00000000">
      <w:pPr>
        <w:spacing w:after="160" w:line="300" w:lineRule="auto"/>
        <w:jc w:val="both"/>
      </w:pPr>
      <w:r>
        <w:rPr>
          <w:color w:val="1C2833"/>
        </w:rPr>
        <w:t xml:space="preserve">Chaque OC a un cycle de révision défini en couche 7 : </w:t>
      </w:r>
      <w:r>
        <w:rPr>
          <w:b/>
          <w:bCs/>
          <w:color w:val="1C2833"/>
        </w:rPr>
        <w:t xml:space="preserve">trimestriel </w:t>
      </w:r>
      <w:r>
        <w:rPr>
          <w:color w:val="1C2833"/>
        </w:rPr>
        <w:t xml:space="preserve">pour les OC à risque haut ou en Mode 3, </w:t>
      </w:r>
      <w:r>
        <w:rPr>
          <w:b/>
          <w:bCs/>
          <w:color w:val="1C2833"/>
        </w:rPr>
        <w:t xml:space="preserve">semestriel </w:t>
      </w:r>
      <w:r>
        <w:rPr>
          <w:color w:val="1C2833"/>
        </w:rPr>
        <w:t xml:space="preserve">pour les OC à risque moyen en Mode 2, </w:t>
      </w:r>
      <w:r>
        <w:rPr>
          <w:b/>
          <w:bCs/>
          <w:color w:val="1C2833"/>
        </w:rPr>
        <w:t xml:space="preserve">annuel </w:t>
      </w:r>
      <w:r>
        <w:rPr>
          <w:color w:val="1C2833"/>
        </w:rPr>
        <w:t xml:space="preserve">pour les OC à risque bas en Mode 1. La révision comprend : une revue des métriques, un traitement du </w:t>
      </w:r>
      <w:proofErr w:type="spellStart"/>
      <w:r>
        <w:rPr>
          <w:color w:val="1C2833"/>
        </w:rPr>
        <w:t>backlog</w:t>
      </w:r>
      <w:proofErr w:type="spellEnd"/>
      <w:r>
        <w:rPr>
          <w:color w:val="1C2833"/>
        </w:rPr>
        <w:t xml:space="preserve"> de signalements, une vérification de l’alignement avec le contexte métier actuel, et une décision (maintenir en l’état / évoluer en version mineure / lancer une version majeure / décommissionner).</w:t>
      </w:r>
    </w:p>
    <w:p w14:paraId="0F5D237D" w14:textId="77777777" w:rsidR="00A61917" w:rsidRDefault="00000000">
      <w:pPr>
        <w:pStyle w:val="Titre2"/>
      </w:pPr>
      <w:bookmarkStart w:id="56" w:name="_Toc223038854"/>
      <w:r>
        <w:t>4.3 Modèle de maturité organisationnelle</w:t>
      </w:r>
      <w:bookmarkEnd w:id="56"/>
    </w:p>
    <w:p w14:paraId="03273A45" w14:textId="77777777" w:rsidR="00A61917" w:rsidRDefault="00000000">
      <w:pPr>
        <w:spacing w:after="160" w:line="300" w:lineRule="auto"/>
        <w:jc w:val="both"/>
      </w:pPr>
      <w:r>
        <w:rPr>
          <w:color w:val="1C2833"/>
        </w:rPr>
        <w:t>Pour situer votre organisation et orienter votre trajectoire, voici un modèle de maturité en cinq niveaux.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13"/>
        <w:gridCol w:w="2513"/>
      </w:tblGrid>
      <w:tr w:rsidR="00A61917" w14:paraId="16CECF25"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2F323F7" w14:textId="77777777" w:rsidR="00A61917" w:rsidRDefault="00000000">
            <w:pPr>
              <w:jc w:val="center"/>
            </w:pPr>
            <w:r>
              <w:rPr>
                <w:b/>
                <w:bCs/>
                <w:color w:val="FFFFFF"/>
                <w:sz w:val="20"/>
                <w:szCs w:val="20"/>
              </w:rPr>
              <w:t>Niveau</w:t>
            </w:r>
          </w:p>
        </w:tc>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4B7655F" w14:textId="77777777" w:rsidR="00A61917" w:rsidRDefault="00000000">
            <w:pPr>
              <w:jc w:val="center"/>
            </w:pPr>
            <w:r>
              <w:rPr>
                <w:b/>
                <w:bCs/>
                <w:color w:val="FFFFFF"/>
                <w:sz w:val="20"/>
                <w:szCs w:val="20"/>
              </w:rPr>
              <w:t>Caractéristiques</w:t>
            </w:r>
          </w:p>
        </w:tc>
        <w:tc>
          <w:tcPr>
            <w:tcW w:w="25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AB89F30" w14:textId="77777777" w:rsidR="00A61917" w:rsidRDefault="00000000">
            <w:pPr>
              <w:jc w:val="center"/>
            </w:pPr>
            <w:r>
              <w:rPr>
                <w:b/>
                <w:bCs/>
                <w:color w:val="FFFFFF"/>
                <w:sz w:val="20"/>
                <w:szCs w:val="20"/>
              </w:rPr>
              <w:t>Indicateurs clés</w:t>
            </w:r>
          </w:p>
        </w:tc>
        <w:tc>
          <w:tcPr>
            <w:tcW w:w="25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7BFDEAF" w14:textId="77777777" w:rsidR="00A61917" w:rsidRDefault="00000000">
            <w:pPr>
              <w:jc w:val="center"/>
            </w:pPr>
            <w:r>
              <w:rPr>
                <w:b/>
                <w:bCs/>
                <w:color w:val="FFFFFF"/>
                <w:sz w:val="20"/>
                <w:szCs w:val="20"/>
              </w:rPr>
              <w:t>Prochaine étape</w:t>
            </w:r>
          </w:p>
        </w:tc>
      </w:tr>
      <w:tr w:rsidR="00A61917" w14:paraId="456C166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vAlign w:val="center"/>
          </w:tcPr>
          <w:p w14:paraId="16ED83C1" w14:textId="77777777" w:rsidR="00A61917" w:rsidRDefault="00000000">
            <w:pPr>
              <w:spacing w:after="40"/>
            </w:pPr>
            <w:r>
              <w:rPr>
                <w:b/>
                <w:bCs/>
                <w:color w:val="1C2833"/>
              </w:rPr>
              <w:t>1 — Initial</w:t>
            </w:r>
          </w:p>
        </w:tc>
        <w:tc>
          <w:tcPr>
            <w:tcW w:w="2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vAlign w:val="center"/>
          </w:tcPr>
          <w:p w14:paraId="30E43744" w14:textId="77777777" w:rsidR="00A61917" w:rsidRDefault="00000000">
            <w:pPr>
              <w:spacing w:after="40"/>
            </w:pPr>
            <w:r>
              <w:rPr>
                <w:color w:val="1C2833"/>
                <w:sz w:val="20"/>
                <w:szCs w:val="20"/>
              </w:rPr>
              <w:t>Pas d’OC formalisé. Le savoir expert est tacite et dispersé. L’IA est utilisée sans cadre.</w:t>
            </w:r>
          </w:p>
        </w:tc>
        <w:tc>
          <w:tcPr>
            <w:tcW w:w="2513"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vAlign w:val="center"/>
          </w:tcPr>
          <w:p w14:paraId="3E28EF5D" w14:textId="77777777" w:rsidR="00A61917" w:rsidRDefault="00000000">
            <w:pPr>
              <w:spacing w:after="40"/>
            </w:pPr>
            <w:r>
              <w:rPr>
                <w:color w:val="1C2833"/>
                <w:sz w:val="20"/>
                <w:szCs w:val="20"/>
              </w:rPr>
              <w:t>Shadow AI répandu. Perte de savoir aux départs. Rework élevé.</w:t>
            </w:r>
          </w:p>
        </w:tc>
        <w:tc>
          <w:tcPr>
            <w:tcW w:w="2513"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vAlign w:val="center"/>
          </w:tcPr>
          <w:p w14:paraId="43739D73" w14:textId="77777777" w:rsidR="00A61917" w:rsidRDefault="00000000">
            <w:pPr>
              <w:spacing w:after="40"/>
            </w:pPr>
            <w:r>
              <w:rPr>
                <w:color w:val="1C2833"/>
                <w:sz w:val="20"/>
                <w:szCs w:val="20"/>
              </w:rPr>
              <w:t>Identifier 3 processus candidats. Former un premier cogniticien.</w:t>
            </w:r>
          </w:p>
        </w:tc>
      </w:tr>
      <w:tr w:rsidR="00A61917" w14:paraId="5A639591"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EF5E7"/>
            <w:tcMar>
              <w:top w:w="80" w:type="dxa"/>
              <w:left w:w="120" w:type="dxa"/>
              <w:bottom w:w="80" w:type="dxa"/>
              <w:right w:w="120" w:type="dxa"/>
            </w:tcMar>
            <w:vAlign w:val="center"/>
          </w:tcPr>
          <w:p w14:paraId="5EA3334B" w14:textId="77777777" w:rsidR="00A61917" w:rsidRDefault="00000000">
            <w:pPr>
              <w:spacing w:after="40"/>
            </w:pPr>
            <w:r>
              <w:rPr>
                <w:b/>
                <w:bCs/>
                <w:color w:val="1C2833"/>
              </w:rPr>
              <w:t>2 — Expérimental</w:t>
            </w:r>
          </w:p>
        </w:tc>
        <w:tc>
          <w:tcPr>
            <w:tcW w:w="2500" w:type="dxa"/>
            <w:tcBorders>
              <w:top w:val="single" w:sz="1" w:space="0" w:color="BDC3C7"/>
              <w:left w:val="single" w:sz="1" w:space="0" w:color="BDC3C7"/>
              <w:bottom w:val="single" w:sz="1" w:space="0" w:color="BDC3C7"/>
              <w:right w:val="single" w:sz="1" w:space="0" w:color="BDC3C7"/>
            </w:tcBorders>
            <w:shd w:val="clear" w:color="auto" w:fill="FEF5E7"/>
            <w:tcMar>
              <w:top w:w="80" w:type="dxa"/>
              <w:left w:w="120" w:type="dxa"/>
              <w:bottom w:w="80" w:type="dxa"/>
              <w:right w:w="120" w:type="dxa"/>
            </w:tcMar>
            <w:vAlign w:val="center"/>
          </w:tcPr>
          <w:p w14:paraId="35F3BCF5" w14:textId="77777777" w:rsidR="00A61917" w:rsidRDefault="00000000">
            <w:pPr>
              <w:spacing w:after="40"/>
            </w:pPr>
            <w:r>
              <w:rPr>
                <w:color w:val="1C2833"/>
                <w:sz w:val="20"/>
                <w:szCs w:val="20"/>
              </w:rPr>
              <w:t>1 à 3 OC déployés en Mode 1 ou 2. L’approche est comprise par une équipe pilote.</w:t>
            </w:r>
          </w:p>
        </w:tc>
        <w:tc>
          <w:tcPr>
            <w:tcW w:w="2513" w:type="dxa"/>
            <w:tcBorders>
              <w:top w:val="single" w:sz="1" w:space="0" w:color="BDC3C7"/>
              <w:left w:val="single" w:sz="1" w:space="0" w:color="BDC3C7"/>
              <w:bottom w:val="single" w:sz="1" w:space="0" w:color="BDC3C7"/>
              <w:right w:val="single" w:sz="1" w:space="0" w:color="BDC3C7"/>
            </w:tcBorders>
            <w:shd w:val="clear" w:color="auto" w:fill="FEF5E7"/>
            <w:tcMar>
              <w:top w:w="80" w:type="dxa"/>
              <w:left w:w="120" w:type="dxa"/>
              <w:bottom w:w="80" w:type="dxa"/>
              <w:right w:w="120" w:type="dxa"/>
            </w:tcMar>
            <w:vAlign w:val="center"/>
          </w:tcPr>
          <w:p w14:paraId="62A4CE61" w14:textId="77777777" w:rsidR="00A61917" w:rsidRDefault="00000000">
            <w:pPr>
              <w:spacing w:after="40"/>
            </w:pPr>
            <w:r>
              <w:rPr>
                <w:color w:val="1C2833"/>
                <w:sz w:val="20"/>
                <w:szCs w:val="20"/>
              </w:rPr>
              <w:t>Premiers gains mesurables. Ambassadeurs identifiés.</w:t>
            </w:r>
          </w:p>
        </w:tc>
        <w:tc>
          <w:tcPr>
            <w:tcW w:w="2513" w:type="dxa"/>
            <w:tcBorders>
              <w:top w:val="single" w:sz="1" w:space="0" w:color="BDC3C7"/>
              <w:left w:val="single" w:sz="1" w:space="0" w:color="BDC3C7"/>
              <w:bottom w:val="single" w:sz="1" w:space="0" w:color="BDC3C7"/>
              <w:right w:val="single" w:sz="1" w:space="0" w:color="BDC3C7"/>
            </w:tcBorders>
            <w:shd w:val="clear" w:color="auto" w:fill="FEF5E7"/>
            <w:tcMar>
              <w:top w:w="80" w:type="dxa"/>
              <w:left w:w="120" w:type="dxa"/>
              <w:bottom w:w="80" w:type="dxa"/>
              <w:right w:w="120" w:type="dxa"/>
            </w:tcMar>
            <w:vAlign w:val="center"/>
          </w:tcPr>
          <w:p w14:paraId="678E5519" w14:textId="77777777" w:rsidR="00A61917" w:rsidRDefault="00000000">
            <w:pPr>
              <w:spacing w:after="40"/>
            </w:pPr>
            <w:r>
              <w:rPr>
                <w:color w:val="1C2833"/>
                <w:sz w:val="20"/>
                <w:szCs w:val="20"/>
              </w:rPr>
              <w:t>Structurer la gouvernance. Former les propriétaires métier.</w:t>
            </w:r>
          </w:p>
        </w:tc>
      </w:tr>
      <w:tr w:rsidR="00A61917" w14:paraId="3ECB94F7"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396DD4B0" w14:textId="77777777" w:rsidR="00A61917" w:rsidRDefault="00000000">
            <w:pPr>
              <w:spacing w:after="40"/>
            </w:pPr>
            <w:r>
              <w:rPr>
                <w:b/>
                <w:bCs/>
                <w:color w:val="1C2833"/>
              </w:rPr>
              <w:t>3 — Structuré</w:t>
            </w:r>
          </w:p>
        </w:tc>
        <w:tc>
          <w:tcPr>
            <w:tcW w:w="2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458524D3" w14:textId="77777777" w:rsidR="00A61917" w:rsidRDefault="00000000">
            <w:pPr>
              <w:spacing w:after="40"/>
            </w:pPr>
            <w:r>
              <w:rPr>
                <w:color w:val="1C2833"/>
                <w:sz w:val="20"/>
                <w:szCs w:val="20"/>
              </w:rPr>
              <w:t>5 à 15 OC actifs. Gouvernance opérationnelle. Catalogue centralisé. Premières compositions.</w:t>
            </w:r>
          </w:p>
        </w:tc>
        <w:tc>
          <w:tcPr>
            <w:tcW w:w="25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1FE29808" w14:textId="77777777" w:rsidR="00A61917" w:rsidRDefault="00000000">
            <w:pPr>
              <w:spacing w:after="40"/>
            </w:pPr>
            <w:r>
              <w:rPr>
                <w:color w:val="1C2833"/>
                <w:sz w:val="20"/>
                <w:szCs w:val="20"/>
              </w:rPr>
              <w:t xml:space="preserve">Réduction mesurable du </w:t>
            </w:r>
            <w:proofErr w:type="spellStart"/>
            <w:r>
              <w:rPr>
                <w:color w:val="1C2833"/>
                <w:sz w:val="20"/>
                <w:szCs w:val="20"/>
              </w:rPr>
              <w:t>rework</w:t>
            </w:r>
            <w:proofErr w:type="spellEnd"/>
            <w:r>
              <w:rPr>
                <w:color w:val="1C2833"/>
                <w:sz w:val="20"/>
                <w:szCs w:val="20"/>
              </w:rPr>
              <w:t>. Intégration dans les workflows existants.</w:t>
            </w:r>
          </w:p>
        </w:tc>
        <w:tc>
          <w:tcPr>
            <w:tcW w:w="2513"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vAlign w:val="center"/>
          </w:tcPr>
          <w:p w14:paraId="52EF3B87" w14:textId="77777777" w:rsidR="00A61917" w:rsidRDefault="00000000">
            <w:pPr>
              <w:spacing w:after="40"/>
            </w:pPr>
            <w:r>
              <w:rPr>
                <w:color w:val="1C2833"/>
                <w:sz w:val="20"/>
                <w:szCs w:val="20"/>
              </w:rPr>
              <w:t>Développer les compositions inter-OC. Passer certains OC en Mode 3.</w:t>
            </w:r>
          </w:p>
        </w:tc>
      </w:tr>
      <w:tr w:rsidR="00A61917" w14:paraId="754E9BE6"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vAlign w:val="center"/>
          </w:tcPr>
          <w:p w14:paraId="231EA94A" w14:textId="77777777" w:rsidR="00A61917" w:rsidRDefault="00000000">
            <w:pPr>
              <w:spacing w:after="40"/>
            </w:pPr>
            <w:r>
              <w:rPr>
                <w:b/>
                <w:bCs/>
                <w:color w:val="1C2833"/>
              </w:rPr>
              <w:t>4 — Industrialisé</w:t>
            </w:r>
          </w:p>
        </w:tc>
        <w:tc>
          <w:tcPr>
            <w:tcW w:w="2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vAlign w:val="center"/>
          </w:tcPr>
          <w:p w14:paraId="6A514263" w14:textId="77777777" w:rsidR="00A61917" w:rsidRDefault="00000000">
            <w:pPr>
              <w:spacing w:after="40"/>
            </w:pPr>
            <w:r>
              <w:rPr>
                <w:color w:val="1C2833"/>
                <w:sz w:val="20"/>
                <w:szCs w:val="20"/>
              </w:rPr>
              <w:t>15+ OC actifs. Écosystème composable. Monitoring continu. Métriques de pilotage stratégique.</w:t>
            </w:r>
          </w:p>
        </w:tc>
        <w:tc>
          <w:tcPr>
            <w:tcW w:w="2513"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vAlign w:val="center"/>
          </w:tcPr>
          <w:p w14:paraId="4A6CCD3F" w14:textId="77777777" w:rsidR="00A61917" w:rsidRDefault="00000000">
            <w:pPr>
              <w:spacing w:after="40"/>
            </w:pPr>
            <w:r>
              <w:rPr>
                <w:color w:val="1C2833"/>
                <w:sz w:val="20"/>
                <w:szCs w:val="20"/>
              </w:rPr>
              <w:t xml:space="preserve">Les OC couvrent &gt;30 % des processus critiques. Le </w:t>
            </w:r>
            <w:proofErr w:type="spellStart"/>
            <w:r>
              <w:rPr>
                <w:color w:val="1C2833"/>
                <w:sz w:val="20"/>
                <w:szCs w:val="20"/>
              </w:rPr>
              <w:t>shadow</w:t>
            </w:r>
            <w:proofErr w:type="spellEnd"/>
            <w:r>
              <w:rPr>
                <w:color w:val="1C2833"/>
                <w:sz w:val="20"/>
                <w:szCs w:val="20"/>
              </w:rPr>
              <w:t xml:space="preserve"> AI a diminué significativement.</w:t>
            </w:r>
          </w:p>
        </w:tc>
        <w:tc>
          <w:tcPr>
            <w:tcW w:w="2513"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vAlign w:val="center"/>
          </w:tcPr>
          <w:p w14:paraId="4B0AB856" w14:textId="77777777" w:rsidR="00A61917" w:rsidRDefault="00000000">
            <w:pPr>
              <w:spacing w:after="40"/>
            </w:pPr>
            <w:r>
              <w:rPr>
                <w:color w:val="1C2833"/>
                <w:sz w:val="20"/>
                <w:szCs w:val="20"/>
              </w:rPr>
              <w:t>Automatiser les boucles d’amélioration. Explorer l’auto-composition.</w:t>
            </w:r>
          </w:p>
        </w:tc>
      </w:tr>
      <w:tr w:rsidR="00A61917" w14:paraId="15837E23"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D2B4DE"/>
            <w:tcMar>
              <w:top w:w="80" w:type="dxa"/>
              <w:left w:w="120" w:type="dxa"/>
              <w:bottom w:w="80" w:type="dxa"/>
              <w:right w:w="120" w:type="dxa"/>
            </w:tcMar>
            <w:vAlign w:val="center"/>
          </w:tcPr>
          <w:p w14:paraId="63BFAC88" w14:textId="77777777" w:rsidR="00A61917" w:rsidRDefault="00000000">
            <w:pPr>
              <w:spacing w:after="40"/>
            </w:pPr>
            <w:r>
              <w:rPr>
                <w:b/>
                <w:bCs/>
                <w:color w:val="1C2833"/>
              </w:rPr>
              <w:t>5 — Adaptatif</w:t>
            </w:r>
          </w:p>
        </w:tc>
        <w:tc>
          <w:tcPr>
            <w:tcW w:w="2500" w:type="dxa"/>
            <w:tcBorders>
              <w:top w:val="single" w:sz="1" w:space="0" w:color="BDC3C7"/>
              <w:left w:val="single" w:sz="1" w:space="0" w:color="BDC3C7"/>
              <w:bottom w:val="single" w:sz="1" w:space="0" w:color="BDC3C7"/>
              <w:right w:val="single" w:sz="1" w:space="0" w:color="BDC3C7"/>
            </w:tcBorders>
            <w:shd w:val="clear" w:color="auto" w:fill="D2B4DE"/>
            <w:tcMar>
              <w:top w:w="80" w:type="dxa"/>
              <w:left w:w="120" w:type="dxa"/>
              <w:bottom w:w="80" w:type="dxa"/>
              <w:right w:w="120" w:type="dxa"/>
            </w:tcMar>
            <w:vAlign w:val="center"/>
          </w:tcPr>
          <w:p w14:paraId="4B4ABF7D" w14:textId="77777777" w:rsidR="00A61917" w:rsidRDefault="00000000">
            <w:pPr>
              <w:spacing w:after="40"/>
            </w:pPr>
            <w:r>
              <w:rPr>
                <w:color w:val="1C2833"/>
                <w:sz w:val="20"/>
                <w:szCs w:val="20"/>
              </w:rPr>
              <w:t>L’organisation fonctionne avec un écosystème d’OC auto-améliorant. Les OC s’adaptent aux changements de contexte.</w:t>
            </w:r>
          </w:p>
        </w:tc>
        <w:tc>
          <w:tcPr>
            <w:tcW w:w="2513" w:type="dxa"/>
            <w:tcBorders>
              <w:top w:val="single" w:sz="1" w:space="0" w:color="BDC3C7"/>
              <w:left w:val="single" w:sz="1" w:space="0" w:color="BDC3C7"/>
              <w:bottom w:val="single" w:sz="1" w:space="0" w:color="BDC3C7"/>
              <w:right w:val="single" w:sz="1" w:space="0" w:color="BDC3C7"/>
            </w:tcBorders>
            <w:shd w:val="clear" w:color="auto" w:fill="D2B4DE"/>
            <w:tcMar>
              <w:top w:w="80" w:type="dxa"/>
              <w:left w:w="120" w:type="dxa"/>
              <w:bottom w:w="80" w:type="dxa"/>
              <w:right w:w="120" w:type="dxa"/>
            </w:tcMar>
            <w:vAlign w:val="center"/>
          </w:tcPr>
          <w:p w14:paraId="0DA0EF56" w14:textId="77777777" w:rsidR="00A61917" w:rsidRDefault="00000000">
            <w:pPr>
              <w:spacing w:after="40"/>
            </w:pPr>
            <w:r>
              <w:rPr>
                <w:color w:val="1C2833"/>
                <w:sz w:val="20"/>
                <w:szCs w:val="20"/>
              </w:rPr>
              <w:t>Les nouveaux processus sont conçus nativement avec des OC. L’IA est un levier gouverné.</w:t>
            </w:r>
          </w:p>
        </w:tc>
        <w:tc>
          <w:tcPr>
            <w:tcW w:w="2513" w:type="dxa"/>
            <w:tcBorders>
              <w:top w:val="single" w:sz="1" w:space="0" w:color="BDC3C7"/>
              <w:left w:val="single" w:sz="1" w:space="0" w:color="BDC3C7"/>
              <w:bottom w:val="single" w:sz="1" w:space="0" w:color="BDC3C7"/>
              <w:right w:val="single" w:sz="1" w:space="0" w:color="BDC3C7"/>
            </w:tcBorders>
            <w:shd w:val="clear" w:color="auto" w:fill="D2B4DE"/>
            <w:tcMar>
              <w:top w:w="80" w:type="dxa"/>
              <w:left w:w="120" w:type="dxa"/>
              <w:bottom w:w="80" w:type="dxa"/>
              <w:right w:w="120" w:type="dxa"/>
            </w:tcMar>
            <w:vAlign w:val="center"/>
          </w:tcPr>
          <w:p w14:paraId="720A704F" w14:textId="77777777" w:rsidR="00A61917" w:rsidRDefault="00000000">
            <w:pPr>
              <w:spacing w:after="40"/>
            </w:pPr>
            <w:r>
              <w:rPr>
                <w:color w:val="1C2833"/>
                <w:sz w:val="20"/>
                <w:szCs w:val="20"/>
              </w:rPr>
              <w:t>Partager les OC entre organisations. Contribuer à l’écosystème.</w:t>
            </w:r>
          </w:p>
        </w:tc>
      </w:tr>
    </w:tbl>
    <w:p w14:paraId="708ACCDE" w14:textId="77777777" w:rsidR="00A61917" w:rsidRDefault="00A61917">
      <w:pPr>
        <w:spacing w:after="200"/>
      </w:pPr>
    </w:p>
    <w:p w14:paraId="17E25DC8" w14:textId="77777777" w:rsidR="00A61917" w:rsidRDefault="00000000">
      <w:pPr>
        <w:pBdr>
          <w:left w:val="single" w:sz="6" w:space="0" w:color="E67E22"/>
        </w:pBdr>
        <w:spacing w:before="160" w:after="200"/>
        <w:ind w:left="360" w:right="360"/>
      </w:pPr>
      <w:r>
        <w:rPr>
          <w:i/>
          <w:iCs/>
          <w:color w:val="566573"/>
        </w:rPr>
        <w:t>La majorité des organisations se situent au niveau 1. L’objectif réaliste à 12 mois est d’atteindre le niveau 2 ou 3. Le niveau 5 est un horizon à 3-5 ans.</w:t>
      </w:r>
    </w:p>
    <w:p w14:paraId="62348251" w14:textId="77777777" w:rsidR="00A61917" w:rsidRDefault="00000000">
      <w:r>
        <w:br w:type="page"/>
      </w:r>
    </w:p>
    <w:p w14:paraId="13785444" w14:textId="77777777" w:rsidR="00A61917" w:rsidRDefault="00000000">
      <w:pPr>
        <w:pStyle w:val="Titre1"/>
      </w:pPr>
      <w:bookmarkStart w:id="57" w:name="_Toc223038855"/>
      <w:r>
        <w:t>Conclusion — Par où commencer</w:t>
      </w:r>
      <w:bookmarkEnd w:id="57"/>
    </w:p>
    <w:p w14:paraId="0A456B54" w14:textId="77777777" w:rsidR="00A61917" w:rsidRDefault="00000000">
      <w:pPr>
        <w:spacing w:after="160" w:line="300" w:lineRule="auto"/>
        <w:jc w:val="both"/>
      </w:pPr>
      <w:r>
        <w:rPr>
          <w:color w:val="1C2833"/>
        </w:rPr>
        <w:t xml:space="preserve">Ce guide a couvert l’intégralité de la trajectoire, du diagnostic initial à l’amélioration continue. Mais la question </w:t>
      </w:r>
      <w:proofErr w:type="gramStart"/>
      <w:r>
        <w:rPr>
          <w:color w:val="1C2833"/>
        </w:rPr>
        <w:t>la plus importante reste</w:t>
      </w:r>
      <w:proofErr w:type="gramEnd"/>
      <w:r>
        <w:rPr>
          <w:color w:val="1C2833"/>
        </w:rPr>
        <w:t xml:space="preserve"> : par où commencer, concrètement, lundi matin ?</w:t>
      </w:r>
    </w:p>
    <w:p w14:paraId="243338F4" w14:textId="77777777" w:rsidR="00A61917" w:rsidRDefault="00000000">
      <w:pPr>
        <w:spacing w:after="160" w:line="300" w:lineRule="auto"/>
        <w:jc w:val="both"/>
      </w:pPr>
      <w:r>
        <w:rPr>
          <w:b/>
          <w:bCs/>
          <w:color w:val="1C2833"/>
        </w:rPr>
        <w:t>Voici les cinq premières actions, réalisables en une semaine :</w:t>
      </w:r>
    </w:p>
    <w:p w14:paraId="5C1CAE66" w14:textId="77777777" w:rsidR="00A61917" w:rsidRDefault="00000000">
      <w:pPr>
        <w:pStyle w:val="Paragraphedeliste"/>
        <w:numPr>
          <w:ilvl w:val="0"/>
          <w:numId w:val="5"/>
        </w:numPr>
        <w:spacing w:after="80" w:line="280" w:lineRule="auto"/>
      </w:pPr>
      <w:r>
        <w:rPr>
          <w:b/>
          <w:bCs/>
          <w:color w:val="1C2833"/>
        </w:rPr>
        <w:t xml:space="preserve">Identifiez une douleur visible. </w:t>
      </w:r>
      <w:r>
        <w:rPr>
          <w:color w:val="1C2833"/>
        </w:rPr>
        <w:t xml:space="preserve">Quel processus fait perdre du temps à tout le monde, génère du </w:t>
      </w:r>
      <w:proofErr w:type="spellStart"/>
      <w:r>
        <w:rPr>
          <w:color w:val="1C2833"/>
        </w:rPr>
        <w:t>rework</w:t>
      </w:r>
      <w:proofErr w:type="spellEnd"/>
      <w:r>
        <w:rPr>
          <w:color w:val="1C2833"/>
        </w:rPr>
        <w:t>, ou dépend entièrement d’une seule personne ? Le compte-rendu de réunion est souvent un bon premier candidat.</w:t>
      </w:r>
    </w:p>
    <w:p w14:paraId="535B5D04" w14:textId="77777777" w:rsidR="00A61917" w:rsidRDefault="00000000">
      <w:pPr>
        <w:pStyle w:val="Paragraphedeliste"/>
        <w:numPr>
          <w:ilvl w:val="0"/>
          <w:numId w:val="5"/>
        </w:numPr>
        <w:spacing w:after="80" w:line="280" w:lineRule="auto"/>
      </w:pPr>
      <w:r>
        <w:rPr>
          <w:b/>
          <w:bCs/>
          <w:color w:val="1C2833"/>
        </w:rPr>
        <w:t xml:space="preserve">Trouvez l’expert qui connaît le truc. </w:t>
      </w:r>
      <w:r>
        <w:rPr>
          <w:color w:val="1C2833"/>
        </w:rPr>
        <w:t>La personne à qui tout le monde pose des questions quand un cas sort de l’ordinaire.</w:t>
      </w:r>
    </w:p>
    <w:p w14:paraId="730C33BF" w14:textId="77777777" w:rsidR="00A61917" w:rsidRDefault="00000000">
      <w:pPr>
        <w:pStyle w:val="Paragraphedeliste"/>
        <w:numPr>
          <w:ilvl w:val="0"/>
          <w:numId w:val="5"/>
        </w:numPr>
        <w:spacing w:after="80" w:line="280" w:lineRule="auto"/>
      </w:pPr>
      <w:r>
        <w:rPr>
          <w:b/>
          <w:bCs/>
          <w:color w:val="1C2833"/>
        </w:rPr>
        <w:t xml:space="preserve">Menez un premier entretien de 45 minutes. </w:t>
      </w:r>
      <w:r>
        <w:rPr>
          <w:color w:val="1C2833"/>
        </w:rPr>
        <w:t>Suivez le protocole de la section 2.1. Vous en sortirez avec une carte brute du raisonnement.</w:t>
      </w:r>
    </w:p>
    <w:p w14:paraId="362A29A9" w14:textId="77777777" w:rsidR="00A61917" w:rsidRDefault="00000000">
      <w:pPr>
        <w:pStyle w:val="Paragraphedeliste"/>
        <w:numPr>
          <w:ilvl w:val="0"/>
          <w:numId w:val="5"/>
        </w:numPr>
        <w:spacing w:after="80" w:line="280" w:lineRule="auto"/>
      </w:pPr>
      <w:r>
        <w:rPr>
          <w:b/>
          <w:bCs/>
          <w:color w:val="1C2833"/>
        </w:rPr>
        <w:t xml:space="preserve">Formalisez un OC minimal (couches 1 à 5). </w:t>
      </w:r>
      <w:r>
        <w:rPr>
          <w:color w:val="1C2833"/>
        </w:rPr>
        <w:t>Pas besoin de perfection. L’objectif est un premier OC utilisable en Mode 1 (guide de raisonnement humain).</w:t>
      </w:r>
    </w:p>
    <w:p w14:paraId="0A8D1B3B" w14:textId="77777777" w:rsidR="00A61917" w:rsidRDefault="00000000">
      <w:pPr>
        <w:pStyle w:val="Paragraphedeliste"/>
        <w:numPr>
          <w:ilvl w:val="0"/>
          <w:numId w:val="5"/>
        </w:numPr>
        <w:spacing w:after="80" w:line="280" w:lineRule="auto"/>
      </w:pPr>
      <w:r>
        <w:rPr>
          <w:b/>
          <w:bCs/>
          <w:color w:val="1C2833"/>
        </w:rPr>
        <w:t xml:space="preserve">Testez-le avec 3 opérationnels pendant 2 semaines. </w:t>
      </w:r>
      <w:r>
        <w:rPr>
          <w:color w:val="1C2833"/>
        </w:rPr>
        <w:t>Mesurez : est-ce que ça améliore concrètement la qualité du résultat et/ou le temps de réalisation ?</w:t>
      </w:r>
    </w:p>
    <w:p w14:paraId="625A49F3" w14:textId="77777777" w:rsidR="00A61917" w:rsidRDefault="00A61917">
      <w:pPr>
        <w:spacing w:after="200"/>
      </w:pPr>
    </w:p>
    <w:p w14:paraId="3CD3CCDD" w14:textId="77777777" w:rsidR="00A61917" w:rsidRDefault="00000000">
      <w:pPr>
        <w:spacing w:after="160" w:line="300" w:lineRule="auto"/>
        <w:jc w:val="both"/>
      </w:pPr>
      <w:r>
        <w:rPr>
          <w:color w:val="1C2833"/>
        </w:rPr>
        <w:t>Si le premier OC fonctionne, vous avez votre preuve de concept. Si vous rencontrez des difficultés, elles vous enseigneront exactement ce qu’il faut ajuster avant de passer à l’échelle.</w:t>
      </w:r>
    </w:p>
    <w:p w14:paraId="24670F1B" w14:textId="77777777" w:rsidR="00A61917" w:rsidRDefault="00000000">
      <w:pPr>
        <w:pBdr>
          <w:left w:val="single" w:sz="6" w:space="0" w:color="E67E22"/>
        </w:pBdr>
        <w:spacing w:before="160" w:after="200"/>
        <w:ind w:left="360" w:right="360"/>
      </w:pPr>
      <w:r>
        <w:rPr>
          <w:i/>
          <w:iCs/>
          <w:color w:val="566573"/>
        </w:rPr>
        <w:t>La question de départ reste la même : quel savoir-faire critique de votre organisation mériterait d’être protégé, formalisé et rendu utilisable par tous — y compris par vos outils d’intelligence artificielle ?</w:t>
      </w:r>
    </w:p>
    <w:sectPr w:rsidR="00A6191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C88CB" w14:textId="77777777" w:rsidR="001E074A" w:rsidRDefault="001E074A">
      <w:r>
        <w:separator/>
      </w:r>
    </w:p>
  </w:endnote>
  <w:endnote w:type="continuationSeparator" w:id="0">
    <w:p w14:paraId="3BCAA39D" w14:textId="77777777" w:rsidR="001E074A" w:rsidRDefault="001E0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5329" w14:textId="77777777" w:rsidR="00A61917" w:rsidRDefault="00000000">
    <w:pPr>
      <w:jc w:val="center"/>
    </w:pPr>
    <w:r>
      <w:rPr>
        <w:color w:val="566573"/>
        <w:sz w:val="18"/>
        <w:szCs w:val="18"/>
      </w:rPr>
      <w:t xml:space="preserve">Page </w:t>
    </w:r>
    <w:r>
      <w:rPr>
        <w:color w:val="566573"/>
        <w:sz w:val="18"/>
        <w:szCs w:val="18"/>
      </w:rPr>
      <w:fldChar w:fldCharType="begin"/>
    </w:r>
    <w:r>
      <w:rPr>
        <w:color w:val="566573"/>
        <w:sz w:val="18"/>
        <w:szCs w:val="18"/>
      </w:rPr>
      <w:instrText>PAGE</w:instrText>
    </w:r>
    <w:r>
      <w:rPr>
        <w:color w:val="566573"/>
        <w:sz w:val="18"/>
        <w:szCs w:val="18"/>
      </w:rPr>
      <w:fldChar w:fldCharType="separate"/>
    </w:r>
    <w:r w:rsidR="00907974">
      <w:rPr>
        <w:noProof/>
        <w:color w:val="566573"/>
        <w:sz w:val="18"/>
        <w:szCs w:val="18"/>
      </w:rPr>
      <w:t>1</w:t>
    </w:r>
    <w:r>
      <w:rPr>
        <w:color w:val="5665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FFBAC" w14:textId="77777777" w:rsidR="001E074A" w:rsidRDefault="001E074A">
      <w:r>
        <w:separator/>
      </w:r>
    </w:p>
  </w:footnote>
  <w:footnote w:type="continuationSeparator" w:id="0">
    <w:p w14:paraId="266E70BF" w14:textId="77777777" w:rsidR="001E074A" w:rsidRDefault="001E0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4A08D" w14:textId="77777777" w:rsidR="00A61917" w:rsidRDefault="00000000">
    <w:pPr>
      <w:pBdr>
        <w:bottom w:val="single" w:sz="2" w:space="4" w:color="2E86C1"/>
      </w:pBdr>
      <w:tabs>
        <w:tab w:val="right" w:pos="9026"/>
      </w:tabs>
    </w:pPr>
    <w:r>
      <w:rPr>
        <w:i/>
        <w:iCs/>
        <w:color w:val="566573"/>
        <w:sz w:val="18"/>
        <w:szCs w:val="18"/>
      </w:rPr>
      <w:t>Objets Cognitifs — Méthode complète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F48DB"/>
    <w:multiLevelType w:val="hybridMultilevel"/>
    <w:tmpl w:val="70CA7B82"/>
    <w:lvl w:ilvl="0" w:tplc="C778E9D2">
      <w:start w:val="1"/>
      <w:numFmt w:val="decimal"/>
      <w:lvlText w:val="%1."/>
      <w:lvlJc w:val="left"/>
      <w:pPr>
        <w:ind w:left="720" w:hanging="360"/>
      </w:pPr>
    </w:lvl>
    <w:lvl w:ilvl="1" w:tplc="D5408D66">
      <w:numFmt w:val="decimal"/>
      <w:lvlText w:val=""/>
      <w:lvlJc w:val="left"/>
    </w:lvl>
    <w:lvl w:ilvl="2" w:tplc="F9C82472">
      <w:numFmt w:val="decimal"/>
      <w:lvlText w:val=""/>
      <w:lvlJc w:val="left"/>
    </w:lvl>
    <w:lvl w:ilvl="3" w:tplc="AADE8F14">
      <w:numFmt w:val="decimal"/>
      <w:lvlText w:val=""/>
      <w:lvlJc w:val="left"/>
    </w:lvl>
    <w:lvl w:ilvl="4" w:tplc="64AA3156">
      <w:numFmt w:val="decimal"/>
      <w:lvlText w:val=""/>
      <w:lvlJc w:val="left"/>
    </w:lvl>
    <w:lvl w:ilvl="5" w:tplc="01CEA010">
      <w:numFmt w:val="decimal"/>
      <w:lvlText w:val=""/>
      <w:lvlJc w:val="left"/>
    </w:lvl>
    <w:lvl w:ilvl="6" w:tplc="2B48AF14">
      <w:numFmt w:val="decimal"/>
      <w:lvlText w:val=""/>
      <w:lvlJc w:val="left"/>
    </w:lvl>
    <w:lvl w:ilvl="7" w:tplc="01068874">
      <w:numFmt w:val="decimal"/>
      <w:lvlText w:val=""/>
      <w:lvlJc w:val="left"/>
    </w:lvl>
    <w:lvl w:ilvl="8" w:tplc="4B4E6224">
      <w:numFmt w:val="decimal"/>
      <w:lvlText w:val=""/>
      <w:lvlJc w:val="left"/>
    </w:lvl>
  </w:abstractNum>
  <w:abstractNum w:abstractNumId="1" w15:restartNumberingAfterBreak="0">
    <w:nsid w:val="106F31FD"/>
    <w:multiLevelType w:val="hybridMultilevel"/>
    <w:tmpl w:val="C9F2E378"/>
    <w:lvl w:ilvl="0" w:tplc="FC5292D0">
      <w:start w:val="1"/>
      <w:numFmt w:val="decimal"/>
      <w:lvlText w:val="%1."/>
      <w:lvlJc w:val="left"/>
      <w:pPr>
        <w:ind w:left="720" w:hanging="360"/>
      </w:pPr>
    </w:lvl>
    <w:lvl w:ilvl="1" w:tplc="E0943A50">
      <w:numFmt w:val="decimal"/>
      <w:lvlText w:val=""/>
      <w:lvlJc w:val="left"/>
    </w:lvl>
    <w:lvl w:ilvl="2" w:tplc="6608AB7C">
      <w:numFmt w:val="decimal"/>
      <w:lvlText w:val=""/>
      <w:lvlJc w:val="left"/>
    </w:lvl>
    <w:lvl w:ilvl="3" w:tplc="1D8C0C20">
      <w:numFmt w:val="decimal"/>
      <w:lvlText w:val=""/>
      <w:lvlJc w:val="left"/>
    </w:lvl>
    <w:lvl w:ilvl="4" w:tplc="92C29F74">
      <w:numFmt w:val="decimal"/>
      <w:lvlText w:val=""/>
      <w:lvlJc w:val="left"/>
    </w:lvl>
    <w:lvl w:ilvl="5" w:tplc="9AB46F74">
      <w:numFmt w:val="decimal"/>
      <w:lvlText w:val=""/>
      <w:lvlJc w:val="left"/>
    </w:lvl>
    <w:lvl w:ilvl="6" w:tplc="52BC7576">
      <w:numFmt w:val="decimal"/>
      <w:lvlText w:val=""/>
      <w:lvlJc w:val="left"/>
    </w:lvl>
    <w:lvl w:ilvl="7" w:tplc="C2BC3412">
      <w:numFmt w:val="decimal"/>
      <w:lvlText w:val=""/>
      <w:lvlJc w:val="left"/>
    </w:lvl>
    <w:lvl w:ilvl="8" w:tplc="ED06B314">
      <w:numFmt w:val="decimal"/>
      <w:lvlText w:val=""/>
      <w:lvlJc w:val="left"/>
    </w:lvl>
  </w:abstractNum>
  <w:abstractNum w:abstractNumId="2" w15:restartNumberingAfterBreak="0">
    <w:nsid w:val="114D7B5E"/>
    <w:multiLevelType w:val="hybridMultilevel"/>
    <w:tmpl w:val="8D3A54A6"/>
    <w:lvl w:ilvl="0" w:tplc="F800ADC0">
      <w:start w:val="1"/>
      <w:numFmt w:val="bullet"/>
      <w:lvlText w:val="●"/>
      <w:lvlJc w:val="left"/>
      <w:pPr>
        <w:ind w:left="720" w:hanging="360"/>
      </w:pPr>
    </w:lvl>
    <w:lvl w:ilvl="1" w:tplc="1AD6EDDC">
      <w:start w:val="1"/>
      <w:numFmt w:val="bullet"/>
      <w:lvlText w:val="○"/>
      <w:lvlJc w:val="left"/>
      <w:pPr>
        <w:ind w:left="1440" w:hanging="360"/>
      </w:pPr>
    </w:lvl>
    <w:lvl w:ilvl="2" w:tplc="B84CE5C4">
      <w:start w:val="1"/>
      <w:numFmt w:val="bullet"/>
      <w:lvlText w:val="■"/>
      <w:lvlJc w:val="left"/>
      <w:pPr>
        <w:ind w:left="2160" w:hanging="360"/>
      </w:pPr>
    </w:lvl>
    <w:lvl w:ilvl="3" w:tplc="169259F0">
      <w:start w:val="1"/>
      <w:numFmt w:val="bullet"/>
      <w:lvlText w:val="●"/>
      <w:lvlJc w:val="left"/>
      <w:pPr>
        <w:ind w:left="2880" w:hanging="360"/>
      </w:pPr>
    </w:lvl>
    <w:lvl w:ilvl="4" w:tplc="AD948B70">
      <w:start w:val="1"/>
      <w:numFmt w:val="bullet"/>
      <w:lvlText w:val="○"/>
      <w:lvlJc w:val="left"/>
      <w:pPr>
        <w:ind w:left="3600" w:hanging="360"/>
      </w:pPr>
    </w:lvl>
    <w:lvl w:ilvl="5" w:tplc="DC2AD922">
      <w:start w:val="1"/>
      <w:numFmt w:val="bullet"/>
      <w:lvlText w:val="■"/>
      <w:lvlJc w:val="left"/>
      <w:pPr>
        <w:ind w:left="4320" w:hanging="360"/>
      </w:pPr>
    </w:lvl>
    <w:lvl w:ilvl="6" w:tplc="733C3198">
      <w:start w:val="1"/>
      <w:numFmt w:val="bullet"/>
      <w:lvlText w:val="●"/>
      <w:lvlJc w:val="left"/>
      <w:pPr>
        <w:ind w:left="5040" w:hanging="360"/>
      </w:pPr>
    </w:lvl>
    <w:lvl w:ilvl="7" w:tplc="1876A960">
      <w:start w:val="1"/>
      <w:numFmt w:val="bullet"/>
      <w:lvlText w:val="●"/>
      <w:lvlJc w:val="left"/>
      <w:pPr>
        <w:ind w:left="5760" w:hanging="360"/>
      </w:pPr>
    </w:lvl>
    <w:lvl w:ilvl="8" w:tplc="7528F318">
      <w:start w:val="1"/>
      <w:numFmt w:val="bullet"/>
      <w:lvlText w:val="●"/>
      <w:lvlJc w:val="left"/>
      <w:pPr>
        <w:ind w:left="6480" w:hanging="360"/>
      </w:pPr>
    </w:lvl>
  </w:abstractNum>
  <w:abstractNum w:abstractNumId="3" w15:restartNumberingAfterBreak="0">
    <w:nsid w:val="3AC6759B"/>
    <w:multiLevelType w:val="hybridMultilevel"/>
    <w:tmpl w:val="12E09BF8"/>
    <w:lvl w:ilvl="0" w:tplc="0B0C35B8">
      <w:start w:val="1"/>
      <w:numFmt w:val="bullet"/>
      <w:lvlText w:val="•"/>
      <w:lvlJc w:val="left"/>
      <w:pPr>
        <w:ind w:left="720" w:hanging="360"/>
      </w:pPr>
    </w:lvl>
    <w:lvl w:ilvl="1" w:tplc="595EE5CA">
      <w:numFmt w:val="decimal"/>
      <w:lvlText w:val=""/>
      <w:lvlJc w:val="left"/>
    </w:lvl>
    <w:lvl w:ilvl="2" w:tplc="1DD6165A">
      <w:numFmt w:val="decimal"/>
      <w:lvlText w:val=""/>
      <w:lvlJc w:val="left"/>
    </w:lvl>
    <w:lvl w:ilvl="3" w:tplc="C0CE4D90">
      <w:numFmt w:val="decimal"/>
      <w:lvlText w:val=""/>
      <w:lvlJc w:val="left"/>
    </w:lvl>
    <w:lvl w:ilvl="4" w:tplc="E6B0A694">
      <w:numFmt w:val="decimal"/>
      <w:lvlText w:val=""/>
      <w:lvlJc w:val="left"/>
    </w:lvl>
    <w:lvl w:ilvl="5" w:tplc="E6366442">
      <w:numFmt w:val="decimal"/>
      <w:lvlText w:val=""/>
      <w:lvlJc w:val="left"/>
    </w:lvl>
    <w:lvl w:ilvl="6" w:tplc="B106B6F0">
      <w:numFmt w:val="decimal"/>
      <w:lvlText w:val=""/>
      <w:lvlJc w:val="left"/>
    </w:lvl>
    <w:lvl w:ilvl="7" w:tplc="89949792">
      <w:numFmt w:val="decimal"/>
      <w:lvlText w:val=""/>
      <w:lvlJc w:val="left"/>
    </w:lvl>
    <w:lvl w:ilvl="8" w:tplc="661E11A6">
      <w:numFmt w:val="decimal"/>
      <w:lvlText w:val=""/>
      <w:lvlJc w:val="left"/>
    </w:lvl>
  </w:abstractNum>
  <w:abstractNum w:abstractNumId="4" w15:restartNumberingAfterBreak="0">
    <w:nsid w:val="585B6858"/>
    <w:multiLevelType w:val="hybridMultilevel"/>
    <w:tmpl w:val="817015DC"/>
    <w:lvl w:ilvl="0" w:tplc="1CAEB220">
      <w:start w:val="1"/>
      <w:numFmt w:val="bullet"/>
      <w:lvlText w:val="–"/>
      <w:lvlJc w:val="left"/>
      <w:pPr>
        <w:ind w:left="1080" w:hanging="360"/>
      </w:pPr>
    </w:lvl>
    <w:lvl w:ilvl="1" w:tplc="E3721F7C">
      <w:numFmt w:val="decimal"/>
      <w:lvlText w:val=""/>
      <w:lvlJc w:val="left"/>
    </w:lvl>
    <w:lvl w:ilvl="2" w:tplc="28D6EFF2">
      <w:numFmt w:val="decimal"/>
      <w:lvlText w:val=""/>
      <w:lvlJc w:val="left"/>
    </w:lvl>
    <w:lvl w:ilvl="3" w:tplc="A484FDD0">
      <w:numFmt w:val="decimal"/>
      <w:lvlText w:val=""/>
      <w:lvlJc w:val="left"/>
    </w:lvl>
    <w:lvl w:ilvl="4" w:tplc="9A90EF32">
      <w:numFmt w:val="decimal"/>
      <w:lvlText w:val=""/>
      <w:lvlJc w:val="left"/>
    </w:lvl>
    <w:lvl w:ilvl="5" w:tplc="14927EC6">
      <w:numFmt w:val="decimal"/>
      <w:lvlText w:val=""/>
      <w:lvlJc w:val="left"/>
    </w:lvl>
    <w:lvl w:ilvl="6" w:tplc="1054C320">
      <w:numFmt w:val="decimal"/>
      <w:lvlText w:val=""/>
      <w:lvlJc w:val="left"/>
    </w:lvl>
    <w:lvl w:ilvl="7" w:tplc="18B6805C">
      <w:numFmt w:val="decimal"/>
      <w:lvlText w:val=""/>
      <w:lvlJc w:val="left"/>
    </w:lvl>
    <w:lvl w:ilvl="8" w:tplc="C284EF60">
      <w:numFmt w:val="decimal"/>
      <w:lvlText w:val=""/>
      <w:lvlJc w:val="left"/>
    </w:lvl>
  </w:abstractNum>
  <w:abstractNum w:abstractNumId="5" w15:restartNumberingAfterBreak="0">
    <w:nsid w:val="685547A7"/>
    <w:multiLevelType w:val="hybridMultilevel"/>
    <w:tmpl w:val="04F81656"/>
    <w:lvl w:ilvl="0" w:tplc="5AC802DA">
      <w:start w:val="1"/>
      <w:numFmt w:val="decimal"/>
      <w:lvlText w:val="%1."/>
      <w:lvlJc w:val="left"/>
      <w:pPr>
        <w:ind w:left="720" w:hanging="360"/>
      </w:pPr>
    </w:lvl>
    <w:lvl w:ilvl="1" w:tplc="DFE287BE">
      <w:numFmt w:val="decimal"/>
      <w:lvlText w:val=""/>
      <w:lvlJc w:val="left"/>
    </w:lvl>
    <w:lvl w:ilvl="2" w:tplc="10E0CBC2">
      <w:numFmt w:val="decimal"/>
      <w:lvlText w:val=""/>
      <w:lvlJc w:val="left"/>
    </w:lvl>
    <w:lvl w:ilvl="3" w:tplc="531E365C">
      <w:numFmt w:val="decimal"/>
      <w:lvlText w:val=""/>
      <w:lvlJc w:val="left"/>
    </w:lvl>
    <w:lvl w:ilvl="4" w:tplc="D1CCFE16">
      <w:numFmt w:val="decimal"/>
      <w:lvlText w:val=""/>
      <w:lvlJc w:val="left"/>
    </w:lvl>
    <w:lvl w:ilvl="5" w:tplc="55283A7A">
      <w:numFmt w:val="decimal"/>
      <w:lvlText w:val=""/>
      <w:lvlJc w:val="left"/>
    </w:lvl>
    <w:lvl w:ilvl="6" w:tplc="B3EE22A4">
      <w:numFmt w:val="decimal"/>
      <w:lvlText w:val=""/>
      <w:lvlJc w:val="left"/>
    </w:lvl>
    <w:lvl w:ilvl="7" w:tplc="712AF93A">
      <w:numFmt w:val="decimal"/>
      <w:lvlText w:val=""/>
      <w:lvlJc w:val="left"/>
    </w:lvl>
    <w:lvl w:ilvl="8" w:tplc="EEDC2460">
      <w:numFmt w:val="decimal"/>
      <w:lvlText w:val=""/>
      <w:lvlJc w:val="left"/>
    </w:lvl>
  </w:abstractNum>
  <w:abstractNum w:abstractNumId="6" w15:restartNumberingAfterBreak="0">
    <w:nsid w:val="7D376E71"/>
    <w:multiLevelType w:val="hybridMultilevel"/>
    <w:tmpl w:val="88127DF4"/>
    <w:lvl w:ilvl="0" w:tplc="6DD28FC4">
      <w:start w:val="1"/>
      <w:numFmt w:val="decimal"/>
      <w:lvlText w:val="%1."/>
      <w:lvlJc w:val="left"/>
      <w:pPr>
        <w:ind w:left="720" w:hanging="360"/>
      </w:pPr>
    </w:lvl>
    <w:lvl w:ilvl="1" w:tplc="EFEE462C">
      <w:numFmt w:val="decimal"/>
      <w:lvlText w:val=""/>
      <w:lvlJc w:val="left"/>
    </w:lvl>
    <w:lvl w:ilvl="2" w:tplc="6930B84C">
      <w:numFmt w:val="decimal"/>
      <w:lvlText w:val=""/>
      <w:lvlJc w:val="left"/>
    </w:lvl>
    <w:lvl w:ilvl="3" w:tplc="BB2AACA2">
      <w:numFmt w:val="decimal"/>
      <w:lvlText w:val=""/>
      <w:lvlJc w:val="left"/>
    </w:lvl>
    <w:lvl w:ilvl="4" w:tplc="2E942B54">
      <w:numFmt w:val="decimal"/>
      <w:lvlText w:val=""/>
      <w:lvlJc w:val="left"/>
    </w:lvl>
    <w:lvl w:ilvl="5" w:tplc="B76C27EA">
      <w:numFmt w:val="decimal"/>
      <w:lvlText w:val=""/>
      <w:lvlJc w:val="left"/>
    </w:lvl>
    <w:lvl w:ilvl="6" w:tplc="92565890">
      <w:numFmt w:val="decimal"/>
      <w:lvlText w:val=""/>
      <w:lvlJc w:val="left"/>
    </w:lvl>
    <w:lvl w:ilvl="7" w:tplc="1D521936">
      <w:numFmt w:val="decimal"/>
      <w:lvlText w:val=""/>
      <w:lvlJc w:val="left"/>
    </w:lvl>
    <w:lvl w:ilvl="8" w:tplc="A12CBC84">
      <w:numFmt w:val="decimal"/>
      <w:lvlText w:val=""/>
      <w:lvlJc w:val="left"/>
    </w:lvl>
  </w:abstractNum>
  <w:num w:numId="1" w16cid:durableId="1312246029">
    <w:abstractNumId w:val="2"/>
    <w:lvlOverride w:ilvl="0">
      <w:startOverride w:val="1"/>
    </w:lvlOverride>
  </w:num>
  <w:num w:numId="2" w16cid:durableId="924189130">
    <w:abstractNumId w:val="1"/>
    <w:lvlOverride w:ilvl="0">
      <w:startOverride w:val="1"/>
    </w:lvlOverride>
  </w:num>
  <w:num w:numId="3" w16cid:durableId="1142384235">
    <w:abstractNumId w:val="3"/>
    <w:lvlOverride w:ilvl="0">
      <w:startOverride w:val="1"/>
    </w:lvlOverride>
  </w:num>
  <w:num w:numId="4" w16cid:durableId="1912153610">
    <w:abstractNumId w:val="5"/>
    <w:lvlOverride w:ilvl="0">
      <w:startOverride w:val="1"/>
    </w:lvlOverride>
  </w:num>
  <w:num w:numId="5" w16cid:durableId="4889068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917"/>
    <w:rsid w:val="001E074A"/>
    <w:rsid w:val="00907974"/>
    <w:rsid w:val="00A61917"/>
    <w:rsid w:val="00DF41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F25FC"/>
  <w15:docId w15:val="{4163398F-B976-4D73-A7C3-666089C93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B4F72"/>
      <w:sz w:val="36"/>
      <w:szCs w:val="36"/>
    </w:rPr>
  </w:style>
  <w:style w:type="paragraph" w:styleId="Titre2">
    <w:name w:val="heading 2"/>
    <w:uiPriority w:val="9"/>
    <w:unhideWhenUsed/>
    <w:qFormat/>
    <w:pPr>
      <w:spacing w:before="300" w:after="160"/>
      <w:outlineLvl w:val="1"/>
    </w:pPr>
    <w:rPr>
      <w:b/>
      <w:bCs/>
      <w:color w:val="2E86C1"/>
      <w:sz w:val="28"/>
      <w:szCs w:val="28"/>
    </w:rPr>
  </w:style>
  <w:style w:type="paragraph" w:styleId="Titre3">
    <w:name w:val="heading 3"/>
    <w:uiPriority w:val="9"/>
    <w:unhideWhenUsed/>
    <w:qFormat/>
    <w:pPr>
      <w:spacing w:before="240" w:after="120"/>
      <w:outlineLvl w:val="2"/>
    </w:pPr>
    <w:rPr>
      <w:b/>
      <w:bCs/>
      <w:color w:val="1B4F72"/>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907974"/>
    <w:pPr>
      <w:spacing w:after="100"/>
    </w:pPr>
  </w:style>
  <w:style w:type="paragraph" w:styleId="TM2">
    <w:name w:val="toc 2"/>
    <w:basedOn w:val="Normal"/>
    <w:next w:val="Normal"/>
    <w:autoRedefine/>
    <w:uiPriority w:val="39"/>
    <w:unhideWhenUsed/>
    <w:rsid w:val="00907974"/>
    <w:pPr>
      <w:spacing w:after="100"/>
      <w:ind w:left="220"/>
    </w:pPr>
  </w:style>
  <w:style w:type="paragraph" w:styleId="TM3">
    <w:name w:val="toc 3"/>
    <w:basedOn w:val="Normal"/>
    <w:next w:val="Normal"/>
    <w:autoRedefine/>
    <w:uiPriority w:val="39"/>
    <w:unhideWhenUsed/>
    <w:rsid w:val="0090797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5801</Words>
  <Characters>31690</Characters>
  <Application>Microsoft Office Word</Application>
  <DocSecurity>0</DocSecurity>
  <Lines>703</Lines>
  <Paragraphs>326</Paragraphs>
  <ScaleCrop>false</ScaleCrop>
  <Company/>
  <LinksUpToDate>false</LinksUpToDate>
  <CharactersWithSpaces>37240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Fozeu</cp:lastModifiedBy>
  <cp:revision>2</cp:revision>
  <dcterms:created xsi:type="dcterms:W3CDTF">2026-02-26T10:20:00Z</dcterms:created>
  <dcterms:modified xsi:type="dcterms:W3CDTF">2026-02-26T21:54:00Z</dcterms:modified>
</cp:coreProperties>
</file>