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bCs/>
          <w:caps/>
          <w:sz w:val="24"/>
          <w:szCs w:val="24"/>
        </w:rPr>
        <w:t xml:space="preserve">UNIVERSIDADE FEDERAL EXEMPLO</w:t>
      </w:r>
    </w:p>
    <w:p>
      <w:pPr>
        <w:spacing w:after="0" w:line="360"/>
        <w:jc w:val="center"/>
      </w:pPr>
      <w:r>
        <w:rPr>
          <w:rFonts w:ascii="Times New Roman" w:cs="Times New Roman" w:eastAsia="Times New Roman" w:hAnsi="Times New Roman"/>
          <w:caps/>
          <w:sz w:val="24"/>
          <w:szCs w:val="24"/>
        </w:rPr>
        <w:t xml:space="preserve">FACULDADE DE EDUCAÇÃO — CURSO DE PEDAGOGIA</w:t>
      </w:r>
    </w:p>
    <w:p/>
    <w:p/>
    <w:p/>
    <w:p/>
    <w:p/>
    <w:p/>
    <w:p/>
    <w:p>
      <w:pPr>
        <w:spacing w:after="0" w:line="360"/>
        <w:jc w:val="center"/>
      </w:pPr>
      <w:r>
        <w:rPr>
          <w:rFonts w:ascii="Times New Roman" w:cs="Times New Roman" w:eastAsia="Times New Roman" w:hAnsi="Times New Roman"/>
          <w:sz w:val="24"/>
          <w:szCs w:val="24"/>
        </w:rPr>
        <w:t xml:space="preserve">Maria Eduarda Ferreira Silva</w:t>
      </w:r>
    </w:p>
    <w:p>
      <w:pPr>
        <w:spacing w:after="0" w:line="360"/>
        <w:jc w:val="center"/>
      </w:pPr>
      <w:r>
        <w:rPr>
          <w:rFonts w:ascii="Times New Roman" w:cs="Times New Roman" w:eastAsia="Times New Roman" w:hAnsi="Times New Roman"/>
          <w:sz w:val="24"/>
          <w:szCs w:val="24"/>
        </w:rPr>
        <w:t xml:space="preserve">João Pedro Camargo Lopes</w:t>
      </w:r>
    </w:p>
    <w:p/>
    <w:p/>
    <w:p/>
    <w:p/>
    <w:p/>
    <w:p/>
    <w:p>
      <w:pPr>
        <w:spacing w:after="0" w:line="360"/>
        <w:jc w:val="center"/>
      </w:pPr>
      <w:r>
        <w:rPr>
          <w:rFonts w:ascii="Times New Roman" w:cs="Times New Roman" w:eastAsia="Times New Roman" w:hAnsi="Times New Roman"/>
          <w:b/>
          <w:bCs/>
          <w:caps/>
          <w:sz w:val="28"/>
          <w:szCs w:val="28"/>
        </w:rPr>
        <w:t xml:space="preserve">ANOTAÇÕES DIGITAIS E APRENDIZAGEM ATIVA</w:t>
      </w:r>
    </w:p>
    <w:p>
      <w:pPr>
        <w:spacing w:after="0" w:line="360"/>
        <w:jc w:val="center"/>
      </w:pPr>
      <w:r>
        <w:rPr>
          <w:rFonts w:ascii="Times New Roman" w:cs="Times New Roman" w:eastAsia="Times New Roman" w:hAnsi="Times New Roman"/>
          <w:sz w:val="24"/>
          <w:szCs w:val="24"/>
        </w:rPr>
        <w:t xml:space="preserve">Um estudo experimental com estudantes universitários</w:t>
      </w:r>
    </w:p>
    <w:p/>
    <w:p/>
    <w:p/>
    <w:p/>
    <w:p/>
    <w:p/>
    <w:p/>
    <w:p>
      <w:pPr>
        <w:spacing w:after="0" w:line="360"/>
        <w:jc w:val="center"/>
      </w:pPr>
      <w:r>
        <w:rPr>
          <w:rFonts w:ascii="Times New Roman" w:cs="Times New Roman" w:eastAsia="Times New Roman" w:hAnsi="Times New Roman"/>
          <w:sz w:val="24"/>
          <w:szCs w:val="24"/>
        </w:rPr>
        <w:t xml:space="preserve">São Paulo</w:t>
      </w:r>
    </w:p>
    <w:p>
      <w:pPr>
        <w:spacing w:after="0" w:line="360"/>
        <w:jc w:val="center"/>
      </w:pPr>
      <w:r>
        <w:rPr>
          <w:rFonts w:ascii="Times New Roman" w:cs="Times New Roman" w:eastAsia="Times New Roman" w:hAnsi="Times New Roman"/>
          <w:sz w:val="24"/>
          <w:szCs w:val="24"/>
        </w:rPr>
        <w:t xml:space="preserve">2025</w:t>
      </w:r>
    </w:p>
    <w:p>
      <w:r>
        <w:br w:type="page"/>
      </w:r>
    </w:p>
    <w:p>
      <w:pPr>
        <w:spacing w:after="0" w:line="360"/>
        <w:jc w:val="center"/>
      </w:pPr>
      <w:r>
        <w:rPr>
          <w:rFonts w:ascii="Times New Roman" w:cs="Times New Roman" w:eastAsia="Times New Roman" w:hAnsi="Times New Roman"/>
          <w:b/>
          <w:bCs/>
          <w:caps/>
          <w:sz w:val="24"/>
          <w:szCs w:val="24"/>
        </w:rPr>
        <w:t xml:space="preserve">UNIVERSIDADE FEDERAL EXEMPLO</w:t>
      </w:r>
    </w:p>
    <w:p>
      <w:pPr>
        <w:spacing w:after="0" w:line="360"/>
        <w:jc w:val="center"/>
      </w:pPr>
      <w:r>
        <w:rPr>
          <w:rFonts w:ascii="Times New Roman" w:cs="Times New Roman" w:eastAsia="Times New Roman" w:hAnsi="Times New Roman"/>
          <w:caps/>
          <w:sz w:val="24"/>
          <w:szCs w:val="24"/>
        </w:rPr>
        <w:t xml:space="preserve">FACULDADE DE EDUCAÇÃO — CURSO DE PEDAGOGIA</w:t>
      </w:r>
    </w:p>
    <w:p/>
    <w:p/>
    <w:p/>
    <w:p/>
    <w:p/>
    <w:p/>
    <w:p>
      <w:pPr>
        <w:spacing w:after="0" w:line="360"/>
        <w:jc w:val="center"/>
      </w:pPr>
      <w:r>
        <w:rPr>
          <w:rFonts w:ascii="Times New Roman" w:cs="Times New Roman" w:eastAsia="Times New Roman" w:hAnsi="Times New Roman"/>
          <w:sz w:val="24"/>
          <w:szCs w:val="24"/>
        </w:rPr>
        <w:t xml:space="preserve">Maria Eduarda Ferreira Silva</w:t>
      </w:r>
    </w:p>
    <w:p>
      <w:pPr>
        <w:spacing w:after="0" w:line="360"/>
        <w:jc w:val="center"/>
      </w:pPr>
      <w:r>
        <w:rPr>
          <w:rFonts w:ascii="Times New Roman" w:cs="Times New Roman" w:eastAsia="Times New Roman" w:hAnsi="Times New Roman"/>
          <w:sz w:val="24"/>
          <w:szCs w:val="24"/>
        </w:rPr>
        <w:t xml:space="preserve">João Pedro Camargo Lopes</w:t>
      </w:r>
    </w:p>
    <w:p/>
    <w:p/>
    <w:p/>
    <w:p/>
    <w:p/>
    <w:p>
      <w:pPr>
        <w:spacing w:after="0" w:line="360"/>
        <w:jc w:val="center"/>
      </w:pPr>
      <w:r>
        <w:rPr>
          <w:rFonts w:ascii="Times New Roman" w:cs="Times New Roman" w:eastAsia="Times New Roman" w:hAnsi="Times New Roman"/>
          <w:b/>
          <w:bCs/>
          <w:caps/>
          <w:sz w:val="28"/>
          <w:szCs w:val="28"/>
        </w:rPr>
        <w:t xml:space="preserve">ANOTAÇÕES DIGITAIS E APRENDIZAGEM ATIVA</w:t>
      </w:r>
    </w:p>
    <w:p>
      <w:pPr>
        <w:spacing w:after="0" w:line="360"/>
        <w:jc w:val="center"/>
      </w:pPr>
      <w:r>
        <w:rPr>
          <w:rFonts w:ascii="Times New Roman" w:cs="Times New Roman" w:eastAsia="Times New Roman" w:hAnsi="Times New Roman"/>
          <w:sz w:val="24"/>
          <w:szCs w:val="24"/>
        </w:rPr>
        <w:t xml:space="preserve">Um estudo experimental com estudantes universitários</w:t>
      </w:r>
    </w:p>
    <w:p/>
    <w:p/>
    <w:p/>
    <w:p/>
    <w:p>
      <w:pPr>
        <w:spacing w:line="240"/>
        <w:ind w:left="4536"/>
        <w:jc w:val="left"/>
      </w:pPr>
      <w:r>
        <w:rPr>
          <w:rFonts w:ascii="Times New Roman" w:cs="Times New Roman" w:eastAsia="Times New Roman" w:hAnsi="Times New Roman"/>
          <w:sz w:val="24"/>
          <w:szCs w:val="24"/>
        </w:rPr>
        <w:t xml:space="preserve">Artigo apresentado ao Faculdade de Educação — Curso de Pedagogia da UNIVERSIDADE FEDERAL EXEMPLO, como requisito parcial para a obtenção de nota.</w:t>
      </w:r>
    </w:p>
    <w:p/>
    <w:p/>
    <w:p/>
    <w:p/>
    <w:p/>
    <w:p>
      <w:pPr>
        <w:spacing w:after="0" w:line="360"/>
        <w:jc w:val="center"/>
      </w:pPr>
      <w:r>
        <w:rPr>
          <w:rFonts w:ascii="Times New Roman" w:cs="Times New Roman" w:eastAsia="Times New Roman" w:hAnsi="Times New Roman"/>
          <w:sz w:val="24"/>
          <w:szCs w:val="24"/>
        </w:rPr>
        <w:t xml:space="preserve">Orientador: Prof. Dr. Carlos Henrique Monteiro</w:t>
      </w:r>
    </w:p>
    <w:p/>
    <w:p/>
    <w:p/>
    <w:p>
      <w:pPr>
        <w:spacing w:after="0" w:line="360"/>
        <w:jc w:val="center"/>
      </w:pPr>
      <w:r>
        <w:rPr>
          <w:rFonts w:ascii="Times New Roman" w:cs="Times New Roman" w:eastAsia="Times New Roman" w:hAnsi="Times New Roman"/>
          <w:sz w:val="24"/>
          <w:szCs w:val="24"/>
        </w:rPr>
        <w:t xml:space="preserve">São Paulo</w:t>
      </w:r>
    </w:p>
    <w:p>
      <w:pPr>
        <w:spacing w:after="0" w:line="360"/>
        <w:jc w:val="center"/>
      </w:pPr>
      <w:r>
        <w:rPr>
          <w:rFonts w:ascii="Times New Roman" w:cs="Times New Roman" w:eastAsia="Times New Roman" w:hAnsi="Times New Roman"/>
          <w:sz w:val="24"/>
          <w:szCs w:val="24"/>
        </w:rPr>
        <w:t xml:space="preserve">2025</w:t>
      </w:r>
    </w:p>
    <w:p>
      <w:r>
        <w:br w:type="page"/>
      </w:r>
    </w:p>
    <w:p>
      <w:pPr>
        <w:spacing w:after="120" w:line="360"/>
        <w:jc w:val="center"/>
      </w:pPr>
      <w:r>
        <w:rPr>
          <w:rFonts w:ascii="Times New Roman" w:cs="Times New Roman" w:eastAsia="Times New Roman" w:hAnsi="Times New Roman"/>
          <w:b/>
          <w:bCs/>
          <w:sz w:val="24"/>
          <w:szCs w:val="24"/>
        </w:rPr>
        <w:t xml:space="preserve">Maria Eduarda Ferreira Silva</w:t>
      </w:r>
    </w:p>
    <w:p>
      <w:pPr>
        <w:spacing w:after="120" w:line="360"/>
        <w:jc w:val="center"/>
      </w:pPr>
      <w:r>
        <w:rPr>
          <w:rFonts w:ascii="Times New Roman" w:cs="Times New Roman" w:eastAsia="Times New Roman" w:hAnsi="Times New Roman"/>
          <w:b/>
          <w:bCs/>
          <w:sz w:val="24"/>
          <w:szCs w:val="24"/>
        </w:rPr>
        <w:t xml:space="preserve">João Pedro Camargo Lopes</w:t>
      </w:r>
    </w:p>
    <w:p>
      <w:pPr>
        <w:spacing w:after="120" w:line="360"/>
        <w:jc w:val="center"/>
      </w:pPr>
      <w:r>
        <w:rPr>
          <w:rFonts w:ascii="Times New Roman" w:cs="Times New Roman" w:eastAsia="Times New Roman" w:hAnsi="Times New Roman"/>
          <w:b/>
          <w:bCs/>
          <w:caps/>
          <w:sz w:val="24"/>
          <w:szCs w:val="24"/>
        </w:rPr>
        <w:t xml:space="preserve">ANOTAÇÕES DIGITAIS E APRENDIZAGEM ATIVA</w:t>
      </w:r>
    </w:p>
    <w:p>
      <w:pPr>
        <w:spacing w:after="240" w:line="360"/>
        <w:jc w:val="center"/>
      </w:pPr>
      <w:r>
        <w:rPr>
          <w:rFonts w:ascii="Times New Roman" w:cs="Times New Roman" w:eastAsia="Times New Roman" w:hAnsi="Times New Roman"/>
          <w:sz w:val="24"/>
          <w:szCs w:val="24"/>
        </w:rPr>
        <w:t xml:space="preserve">Um estudo experimental com estudantes universitários</w:t>
      </w:r>
    </w:p>
    <w:p/>
    <w:p/>
    <w:p/>
    <w:p/>
    <w:p>
      <w:pPr>
        <w:spacing w:after="240" w:line="360"/>
        <w:jc w:val="center"/>
      </w:pPr>
      <w:r>
        <w:rPr>
          <w:rFonts w:ascii="Times New Roman" w:cs="Times New Roman" w:eastAsia="Times New Roman" w:hAnsi="Times New Roman"/>
          <w:sz w:val="24"/>
          <w:szCs w:val="24"/>
        </w:rPr>
        <w:t xml:space="preserve">Aprovado em 15 de outubro de 2025.</w:t>
      </w:r>
    </w:p>
    <w:p>
      <w:pPr>
        <w:spacing w:after="240" w:line="360"/>
        <w:jc w:val="center"/>
      </w:pPr>
      <w:r>
        <w:rPr>
          <w:rFonts w:ascii="Times New Roman" w:cs="Times New Roman" w:eastAsia="Times New Roman" w:hAnsi="Times New Roman"/>
          <w:b/>
          <w:bCs/>
          <w:sz w:val="24"/>
          <w:szCs w:val="24"/>
        </w:rPr>
        <w:t xml:space="preserve">BANCA EXAMINADORA</w:t>
      </w:r>
    </w:p>
    <w:p>
      <w:pPr>
        <w:spacing w:after="60" w:line="360"/>
        <w:jc w:val="center"/>
      </w:pPr>
      <w:r>
        <w:rPr>
          <w:rFonts w:ascii="Times New Roman" w:cs="Times New Roman" w:eastAsia="Times New Roman" w:hAnsi="Times New Roman"/>
          <w:sz w:val="24"/>
          <w:szCs w:val="24"/>
        </w:rPr>
        <w:t xml:space="preserve">Prof. Dr. Carlos Henrique Monteiro — Universidade Federal Exemplo</w:t>
      </w:r>
    </w:p>
    <w:p/>
    <w:p>
      <w:pPr>
        <w:spacing w:after="60" w:line="360"/>
        <w:jc w:val="center"/>
      </w:pPr>
      <w:r>
        <w:rPr>
          <w:rFonts w:ascii="Times New Roman" w:cs="Times New Roman" w:eastAsia="Times New Roman" w:hAnsi="Times New Roman"/>
          <w:sz w:val="24"/>
          <w:szCs w:val="24"/>
        </w:rPr>
        <w:t xml:space="preserve">Profa. Dra. Ana Beatriz Rocha — Universidade Estadual Exemplo</w:t>
      </w:r>
    </w:p>
    <w:p/>
    <w:p>
      <w:pPr>
        <w:spacing w:after="60" w:line="360"/>
        <w:jc w:val="center"/>
      </w:pPr>
      <w:r>
        <w:rPr>
          <w:rFonts w:ascii="Times New Roman" w:cs="Times New Roman" w:eastAsia="Times New Roman" w:hAnsi="Times New Roman"/>
          <w:sz w:val="24"/>
          <w:szCs w:val="24"/>
        </w:rPr>
        <w:t xml:space="preserve">Prof. Dr. Rafael Nogueira — Universidade Federal Exemplo</w:t>
      </w:r>
    </w:p>
    <w:p/>
    <w:p>
      <w:r>
        <w:br w:type="page"/>
      </w:r>
    </w:p>
    <w:p>
      <w:pPr>
        <w:spacing w:after="240" w:line="360"/>
        <w:jc w:val="center"/>
      </w:pPr>
      <w:r>
        <w:rPr>
          <w:rFonts w:ascii="Times New Roman" w:cs="Times New Roman" w:eastAsia="Times New Roman" w:hAnsi="Times New Roman"/>
          <w:b/>
          <w:bCs/>
          <w:caps/>
          <w:sz w:val="24"/>
          <w:szCs w:val="24"/>
        </w:rPr>
        <w:t xml:space="preserve">RESUMO</w:t>
      </w:r>
    </w:p>
    <w:p>
      <w:pPr>
        <w:spacing w:line="240"/>
        <w:jc w:val="both"/>
      </w:pPr>
      <w:r>
        <w:rPr>
          <w:rFonts w:ascii="Times New Roman" w:cs="Times New Roman" w:eastAsia="Times New Roman" w:hAnsi="Times New Roman"/>
          <w:sz w:val="24"/>
          <w:szCs w:val="24"/>
        </w:rPr>
        <w:t xml:space="preserve">Este artigo investiga o impacto das anotações digitais na aprendizagem ativa de estudantes universitários. A pesquisa, de natureza experimental, acompanhou dois grupos de graduação durante seis semanas, comparando o desempenho de quem utilizou anotações manuscritas e de quem utilizou ferramentas digitais com suporte à colaboração. Os resultados indicam ganhos estatisticamente significativos no grupo que combinou anotações digitais com revisões colaborativas semanais, sobretudo nas dimensões de retenção e transferência de conhecimento.</w:t>
      </w:r>
    </w:p>
    <w:p>
      <w:pPr>
        <w:spacing w:before="240" w:line="240"/>
        <w:jc w:val="left"/>
      </w:pPr>
      <w:r>
        <w:rPr>
          <w:rFonts w:ascii="Times New Roman" w:cs="Times New Roman" w:eastAsia="Times New Roman" w:hAnsi="Times New Roman"/>
          <w:b/>
          <w:bCs/>
          <w:sz w:val="24"/>
          <w:szCs w:val="24"/>
        </w:rPr>
        <w:t xml:space="preserve">Palavras-chave: </w:t>
      </w:r>
      <w:r>
        <w:rPr>
          <w:rFonts w:ascii="Times New Roman" w:cs="Times New Roman" w:eastAsia="Times New Roman" w:hAnsi="Times New Roman"/>
          <w:sz w:val="24"/>
          <w:szCs w:val="24"/>
        </w:rPr>
        <w:t xml:space="preserve">aprendizagem ativa. anotações digitais. ensino superior. tecnologia educacional.</w:t>
      </w:r>
    </w:p>
    <w:p>
      <w:r>
        <w:br w:type="page"/>
      </w:r>
    </w:p>
    <w:p>
      <w:pPr>
        <w:spacing w:after="240" w:line="360"/>
        <w:jc w:val="center"/>
      </w:pPr>
      <w:r>
        <w:rPr>
          <w:rFonts w:ascii="Times New Roman" w:cs="Times New Roman" w:eastAsia="Times New Roman" w:hAnsi="Times New Roman"/>
          <w:b/>
          <w:bCs/>
          <w:caps/>
          <w:sz w:val="24"/>
          <w:szCs w:val="24"/>
        </w:rPr>
        <w:t xml:space="preserve">ABSTRACT</w:t>
      </w:r>
    </w:p>
    <w:p>
      <w:pPr>
        <w:spacing w:line="240"/>
        <w:jc w:val="both"/>
      </w:pPr>
      <w:r>
        <w:rPr>
          <w:rFonts w:ascii="Times New Roman" w:cs="Times New Roman" w:eastAsia="Times New Roman" w:hAnsi="Times New Roman"/>
          <w:sz w:val="24"/>
          <w:szCs w:val="24"/>
        </w:rPr>
        <w:t xml:space="preserve">This article investigates the impact of digital note-taking on active learning among undergraduate students. The experimental study followed two groups for six weeks, comparing the performance of students using handwritten notes and students using collaborative digital tools. Results indicate statistically significant gains for the group that combined digital notes with weekly collaborative reviews.</w:t>
      </w:r>
    </w:p>
    <w:p>
      <w:pPr>
        <w:spacing w:before="240" w:line="240"/>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active learning. digital notes. higher education. educational technology.</w:t>
      </w:r>
    </w:p>
    <w:p>
      <w:pPr>
        <w:spacing w:after="360" w:line="360"/>
        <w:jc w:val="center"/>
      </w:pPr>
      <w:r>
        <w:rPr>
          <w:rFonts w:ascii="Times New Roman" w:cs="Times New Roman" w:eastAsia="Times New Roman" w:hAnsi="Times New Roman"/>
          <w:b/>
          <w:bCs/>
          <w:caps/>
          <w:sz w:val="24"/>
          <w:szCs w:val="24"/>
        </w:rPr>
        <w:t xml:space="preserve">Lista de Figuras</w:t>
      </w:r>
    </w:p>
    <w:sdt>
      <w:sdtPr>
        <w:alias w:val="Figuras"/>
      </w:sdtPr>
      <w:sdtContent>
        <w:p>
          <w:r>
            <w:fldChar w:fldCharType="begin" w:dirty="true"/>
            <w:instrText xml:space="preserve">TOC \c "Figura" \h</w:instrText>
            <w:fldChar w:fldCharType="separate"/>
          </w:r>
        </w:p>
        <w:p>
          <w:r>
            <w:fldChar w:fldCharType="end"/>
          </w:r>
        </w:p>
      </w:sdtContent>
    </w:sdt>
    <w:p>
      <w:r>
        <w:br w:type="page"/>
      </w:r>
    </w:p>
    <w:p>
      <w:pPr>
        <w:spacing w:after="360" w:line="360"/>
        <w:jc w:val="center"/>
      </w:pPr>
      <w:r>
        <w:rPr>
          <w:rFonts w:ascii="Times New Roman" w:cs="Times New Roman" w:eastAsia="Times New Roman" w:hAnsi="Times New Roman"/>
          <w:b/>
          <w:bCs/>
          <w:caps/>
          <w:sz w:val="24"/>
          <w:szCs w:val="24"/>
        </w:rPr>
        <w:t xml:space="preserve">Lista de Tabelas</w:t>
      </w:r>
    </w:p>
    <w:sdt>
      <w:sdtPr>
        <w:alias w:val="Tabelas"/>
      </w:sdtPr>
      <w:sdtContent>
        <w:p>
          <w:r>
            <w:fldChar w:fldCharType="begin" w:dirty="true"/>
            <w:instrText xml:space="preserve">TOC \c "Tabela" \h</w:instrText>
            <w:fldChar w:fldCharType="separate"/>
          </w:r>
        </w:p>
        <w:p>
          <w:r>
            <w:fldChar w:fldCharType="end"/>
          </w:r>
        </w:p>
      </w:sdtContent>
    </w:sdt>
    <w:p>
      <w:r>
        <w:br w:type="page"/>
      </w:r>
    </w:p>
    <w:p>
      <w:pPr>
        <w:spacing w:after="360" w:line="360"/>
        <w:jc w:val="center"/>
      </w:pPr>
      <w:r>
        <w:rPr>
          <w:rFonts w:ascii="Times New Roman" w:cs="Times New Roman" w:eastAsia="Times New Roman" w:hAnsi="Times New Roman"/>
          <w:b/>
          <w:bCs/>
          <w:caps/>
          <w:sz w:val="24"/>
          <w:szCs w:val="24"/>
        </w:rPr>
        <w:t xml:space="preserve">SUMÁRIO</w:t>
      </w:r>
    </w:p>
    <w:sdt>
      <w:sdtPr>
        <w:alias w:val="Sumário"/>
      </w:sdtPr>
      <w:sdtContent>
        <w:p>
          <w:pPr>
            <w:pStyle w:val="TOC1"/>
            <w:tabs>
              <w:tab w:val="right" w:pos="9071" w:leader="dot"/>
            </w:tabs>
          </w:pPr>
          <w:r>
            <w:fldChar w:fldCharType="begin" w:dirty="true"/>
            <w:instrText xml:space="preserve">TOC \h \o "1-4"</w:instrText>
            <w:fldChar w:fldCharType="separate"/>
          </w:r>
          <w:hyperlink w:history="1" w:anchor="_Toc1">
            <w:r>
              <w:t xml:space="preserve">1 Introdução</w:t>
            </w:r>
            <w:r>
              <w:tab/>
            </w:r>
            <w:r>
              <w:fldChar w:fldCharType="begin" w:dirty="true"/>
              <w:instrText xml:space="preserve">PAGEREF _Toc1 \h</w:instrText>
              <w:fldChar w:fldCharType="separate"/>
              <w:fldChar w:fldCharType="end"/>
            </w:r>
          </w:hyperlink>
        </w:p>
        <w:p>
          <w:pPr>
            <w:pStyle w:val="TOC1"/>
            <w:tabs>
              <w:tab w:val="right" w:pos="9071" w:leader="dot"/>
            </w:tabs>
          </w:pPr>
          <w:hyperlink w:history="1" w:anchor="_Toc2">
            <w:r>
              <w:t xml:space="preserve">2 Referencial teórico</w:t>
            </w:r>
            <w:r>
              <w:tab/>
            </w:r>
            <w:r>
              <w:fldChar w:fldCharType="begin" w:dirty="true"/>
              <w:instrText xml:space="preserve">PAGEREF _Toc2 \h</w:instrText>
              <w:fldChar w:fldCharType="separate"/>
              <w:fldChar w:fldCharType="end"/>
            </w:r>
          </w:hyperlink>
        </w:p>
        <w:p>
          <w:pPr>
            <w:pStyle w:val="TOC2"/>
            <w:tabs>
              <w:tab w:val="right" w:pos="9071" w:leader="dot"/>
            </w:tabs>
          </w:pPr>
          <w:hyperlink w:history="1" w:anchor="_Toc3">
            <w:r>
              <w:t xml:space="preserve">2.1 Teorias da aprendizagem ativa</w:t>
            </w:r>
            <w:r>
              <w:tab/>
            </w:r>
            <w:r>
              <w:fldChar w:fldCharType="begin" w:dirty="true"/>
              <w:instrText xml:space="preserve">PAGEREF _Toc3 \h</w:instrText>
              <w:fldChar w:fldCharType="separate"/>
              <w:fldChar w:fldCharType="end"/>
            </w:r>
          </w:hyperlink>
        </w:p>
        <w:p>
          <w:pPr>
            <w:pStyle w:val="TOC2"/>
            <w:tabs>
              <w:tab w:val="right" w:pos="9071" w:leader="dot"/>
            </w:tabs>
          </w:pPr>
          <w:hyperlink w:history="1" w:anchor="_Toc4">
            <w:r>
              <w:t xml:space="preserve">2.2 Anotações digitais e metacognição</w:t>
            </w:r>
            <w:r>
              <w:tab/>
            </w:r>
            <w:r>
              <w:fldChar w:fldCharType="begin" w:dirty="true"/>
              <w:instrText xml:space="preserve">PAGEREF _Toc4 \h</w:instrText>
              <w:fldChar w:fldCharType="separate"/>
              <w:fldChar w:fldCharType="end"/>
            </w:r>
          </w:hyperlink>
        </w:p>
        <w:p>
          <w:pPr>
            <w:pStyle w:val="TOC1"/>
            <w:tabs>
              <w:tab w:val="right" w:pos="9071" w:leader="dot"/>
            </w:tabs>
          </w:pPr>
          <w:hyperlink w:history="1" w:anchor="_Toc5">
            <w:r>
              <w:t xml:space="preserve">3 Método</w:t>
            </w:r>
            <w:r>
              <w:tab/>
            </w:r>
            <w:r>
              <w:fldChar w:fldCharType="begin" w:dirty="true"/>
              <w:instrText xml:space="preserve">PAGEREF _Toc5 \h</w:instrText>
              <w:fldChar w:fldCharType="separate"/>
              <w:fldChar w:fldCharType="end"/>
            </w:r>
          </w:hyperlink>
        </w:p>
        <w:p>
          <w:pPr>
            <w:pStyle w:val="TOC1"/>
            <w:tabs>
              <w:tab w:val="right" w:pos="9071" w:leader="dot"/>
            </w:tabs>
          </w:pPr>
          <w:hyperlink w:history="1" w:anchor="_Toc6">
            <w:r>
              <w:t xml:space="preserve">4 Resultados e discussão</w:t>
            </w:r>
            <w:r>
              <w:tab/>
            </w:r>
            <w:r>
              <w:fldChar w:fldCharType="begin" w:dirty="true"/>
              <w:instrText xml:space="preserve">PAGEREF _Toc6 \h</w:instrText>
              <w:fldChar w:fldCharType="separate"/>
              <w:fldChar w:fldCharType="end"/>
            </w:r>
          </w:hyperlink>
        </w:p>
        <w:p>
          <w:pPr>
            <w:pStyle w:val="TOC1"/>
            <w:tabs>
              <w:tab w:val="right" w:pos="9071" w:leader="dot"/>
            </w:tabs>
          </w:pPr>
          <w:hyperlink w:history="1" w:anchor="_Toc7">
            <w:r>
              <w:t xml:space="preserve">5 Considerações finais</w:t>
            </w:r>
            <w:r>
              <w:tab/>
            </w:r>
            <w:r>
              <w:fldChar w:fldCharType="begin" w:dirty="true"/>
              <w:instrText xml:space="preserve">PAGEREF _Toc7 \h</w:instrText>
              <w:fldChar w:fldCharType="separate"/>
              <w:fldChar w:fldCharType="end"/>
            </w:r>
          </w:hyperlink>
        </w:p>
        <w:p>
          <w:pPr>
            <w:pStyle w:val="TOC1"/>
            <w:tabs>
              <w:tab w:val="right" w:pos="9071" w:leader="dot"/>
            </w:tabs>
          </w:pPr>
          <w:hyperlink w:history="1" w:anchor="_Toc8">
            <w:r>
              <w:t xml:space="preserve">REFERÊNCIAS</w:t>
            </w:r>
            <w:r>
              <w:tab/>
            </w:r>
            <w:r>
              <w:fldChar w:fldCharType="begin" w:dirty="true"/>
              <w:instrText xml:space="preserve">PAGEREF _Toc8 \h</w:instrText>
              <w:fldChar w:fldCharType="separate"/>
              <w:fldChar w:fldCharType="end"/>
            </w:r>
          </w:hyperlink>
        </w:p>
        <w:p>
          <w:r>
            <w:fldChar w:fldCharType="end"/>
          </w:r>
        </w:p>
      </w:sdtContent>
    </w:sdt>
    <w:p>
      <w:pPr>
        <w:pStyle w:val="Heading1"/>
        <w:keepNext/>
        <w:spacing w:after="360" w:before="480" w:line="240"/>
        <w:jc w:val="left"/>
      </w:pPr>
      <w:bookmarkStart w:name="_Toc1" w:id="1"/>
      <w:r>
        <w:rPr>
          <w:rFonts w:ascii="Times New Roman" w:cs="Times New Roman" w:eastAsia="Times New Roman" w:hAnsi="Times New Roman"/>
          <w:b/>
          <w:bCs/>
          <w:i w:val="false"/>
          <w:iCs w:val="false"/>
          <w:caps/>
          <w:sz w:val="24"/>
          <w:szCs w:val="24"/>
        </w:rPr>
        <w:t xml:space="preserve">1 Introdução</w:t>
      </w:r>
      <w:bookmarkEnd w:id="1"/>
    </w:p>
    <w:p>
      <w:pPr>
        <w:spacing w:after="0" w:line="360"/>
        <w:ind w:firstLine="709"/>
        <w:jc w:val="both"/>
      </w:pPr>
      <w:r>
        <w:rPr>
          <w:rFonts w:ascii="Times New Roman" w:cs="Times New Roman" w:eastAsia="Times New Roman" w:hAnsi="Times New Roman"/>
          <w:sz w:val="24"/>
          <w:szCs w:val="24"/>
        </w:rPr>
        <w:t xml:space="preserve">As práticas de anotação ocupam papel central nos processos de estudo e na construção autônoma do conhecimento. Segundo (MENDES, 2021), a qualidade das anotações está diretamente associada ao desempenho acadêmico em disciplinas de alta densidade conceitual. Oliveira (2022) observa, porém, que a transição do papel para o ambiente digital altera não apenas o suporte, mas a própria estratégia cognitiva do estudante.</w:t>
      </w:r>
    </w:p>
    <w:p>
      <w:pPr>
        <w:spacing w:after="0" w:line="360"/>
        <w:ind w:firstLine="709"/>
        <w:jc w:val="both"/>
      </w:pPr>
      <w:r>
        <w:rPr>
          <w:rFonts w:ascii="Times New Roman" w:cs="Times New Roman" w:eastAsia="Times New Roman" w:hAnsi="Times New Roman"/>
          <w:sz w:val="24"/>
          <w:szCs w:val="24"/>
        </w:rPr>
        <w:t xml:space="preserve">A literatura recente aponta três dimensões relevantes para a análise: a modalidade do registro, a possibilidade de colaboração e a integração com materiais de referência (MENDES, 2021; SOUZA, 2020, p. 25). Nesta pesquisa, essas dimensões foram operacionalizadas em um desenho experimental com dois grupos e medições semanais.</w:t>
      </w:r>
    </w:p>
    <w:p>
      <w:pPr>
        <w:pStyle w:val="Heading1"/>
        <w:keepNext/>
        <w:spacing w:after="360" w:before="480" w:line="240"/>
        <w:jc w:val="left"/>
      </w:pPr>
      <w:bookmarkStart w:name="_Toc2" w:id="2"/>
      <w:r>
        <w:rPr>
          <w:rFonts w:ascii="Times New Roman" w:cs="Times New Roman" w:eastAsia="Times New Roman" w:hAnsi="Times New Roman"/>
          <w:b/>
          <w:bCs/>
          <w:i w:val="false"/>
          <w:iCs w:val="false"/>
          <w:caps/>
          <w:sz w:val="24"/>
          <w:szCs w:val="24"/>
        </w:rPr>
        <w:t xml:space="preserve">2 Referencial teórico</w:t>
      </w:r>
      <w:bookmarkEnd w:id="2"/>
    </w:p>
    <w:p>
      <w:pPr>
        <w:pStyle w:val="Heading2"/>
        <w:keepNext/>
        <w:spacing w:after="240" w:before="360" w:line="240"/>
        <w:jc w:val="left"/>
      </w:pPr>
      <w:bookmarkStart w:name="_Toc3" w:id="3"/>
      <w:r>
        <w:rPr>
          <w:rFonts w:ascii="Times New Roman" w:cs="Times New Roman" w:eastAsia="Times New Roman" w:hAnsi="Times New Roman"/>
          <w:b w:val="false"/>
          <w:bCs w:val="false"/>
          <w:i w:val="false"/>
          <w:iCs w:val="false"/>
          <w:caps/>
          <w:sz w:val="24"/>
          <w:szCs w:val="24"/>
        </w:rPr>
        <w:t xml:space="preserve">2.1 Teorias da aprendizagem ativa</w:t>
      </w:r>
      <w:bookmarkEnd w:id="3"/>
    </w:p>
    <w:p>
      <w:pPr>
        <w:spacing w:after="0" w:line="360"/>
        <w:ind w:firstLine="709"/>
        <w:jc w:val="both"/>
      </w:pPr>
      <w:r>
        <w:rPr>
          <w:rFonts w:ascii="Times New Roman" w:cs="Times New Roman" w:eastAsia="Times New Roman" w:hAnsi="Times New Roman"/>
          <w:sz w:val="24"/>
          <w:szCs w:val="24"/>
        </w:rPr>
        <w:t xml:space="preserve">A aprendizagem ativa parte do princípio de que o estudante constrói conhecimento quando manipula, organiza e discute a informação, e não quando apenas a recebe. Como sintetiza (ALMEIDA, 2019, p. 112):</w:t>
      </w:r>
    </w:p>
    <w:p>
      <w:pPr>
        <w:spacing w:after="120" w:line="240"/>
        <w:ind w:left="2268"/>
        <w:jc w:val="both"/>
      </w:pPr>
      <w:r>
        <w:rPr>
          <w:rFonts w:ascii="Times New Roman" w:cs="Times New Roman" w:eastAsia="Times New Roman" w:hAnsi="Times New Roman"/>
          <w:sz w:val="20"/>
          <w:szCs w:val="20"/>
        </w:rPr>
        <w:t xml:space="preserve">A anotação deixa de ser cópia e passa a ser reconstrução: o estudante que reformula o conteúdo com suas próprias palavras, questiona e conecta ideias desenvolve estruturas cognitivas mais resistentes ao esquecimento e mais disponíveis para uso em situações novas.</w:t>
      </w:r>
    </w:p>
    <w:p>
      <w:pPr>
        <w:pStyle w:val="Heading2"/>
        <w:keepNext/>
        <w:spacing w:after="240" w:before="360" w:line="240"/>
        <w:jc w:val="left"/>
      </w:pPr>
      <w:bookmarkStart w:name="_Toc4" w:id="4"/>
      <w:r>
        <w:rPr>
          <w:rFonts w:ascii="Times New Roman" w:cs="Times New Roman" w:eastAsia="Times New Roman" w:hAnsi="Times New Roman"/>
          <w:b w:val="false"/>
          <w:bCs w:val="false"/>
          <w:i w:val="false"/>
          <w:iCs w:val="false"/>
          <w:caps/>
          <w:sz w:val="24"/>
          <w:szCs w:val="24"/>
        </w:rPr>
        <w:t xml:space="preserve">2.2 Anotações digitais e metacognição</w:t>
      </w:r>
      <w:bookmarkEnd w:id="4"/>
    </w:p>
    <w:p>
      <w:pPr>
        <w:spacing w:after="0" w:line="360"/>
        <w:ind w:firstLine="709"/>
        <w:jc w:val="both"/>
      </w:pPr>
      <w:r>
        <w:rPr>
          <w:rFonts w:ascii="Times New Roman" w:cs="Times New Roman" w:eastAsia="Times New Roman" w:hAnsi="Times New Roman"/>
          <w:sz w:val="24"/>
          <w:szCs w:val="24"/>
        </w:rPr>
        <w:t xml:space="preserve">Ferramentas digitais de anotação oferecem recursos de busca, vinculação e revisão espaçada que favorecem processos metacognitivos (LIMA, 2023). A possibilidade de compartilhar cadernos entre pares amplia o feedback e cria oportunidades de autorregulação. Ainda assim, Oliveira (2022) adverte que o excesso de recursos pode fragmentar a atenção e reduzir a profundidade do processamento.</w:t>
      </w:r>
    </w:p>
    <w:p>
      <w:pPr>
        <w:pStyle w:val="Heading1"/>
        <w:keepNext/>
        <w:spacing w:after="360" w:before="480" w:line="240"/>
        <w:jc w:val="left"/>
      </w:pPr>
      <w:bookmarkStart w:name="_Toc5" w:id="5"/>
      <w:r>
        <w:rPr>
          <w:rFonts w:ascii="Times New Roman" w:cs="Times New Roman" w:eastAsia="Times New Roman" w:hAnsi="Times New Roman"/>
          <w:b/>
          <w:bCs/>
          <w:i w:val="false"/>
          <w:iCs w:val="false"/>
          <w:caps/>
          <w:sz w:val="24"/>
          <w:szCs w:val="24"/>
        </w:rPr>
        <w:t xml:space="preserve">3 Método</w:t>
      </w:r>
      <w:bookmarkEnd w:id="5"/>
    </w:p>
    <w:p>
      <w:pPr>
        <w:spacing w:after="0" w:line="360"/>
        <w:ind w:firstLine="709"/>
        <w:jc w:val="both"/>
      </w:pPr>
      <w:r>
        <w:rPr>
          <w:rFonts w:ascii="Times New Roman" w:cs="Times New Roman" w:eastAsia="Times New Roman" w:hAnsi="Times New Roman"/>
          <w:sz w:val="24"/>
          <w:szCs w:val="24"/>
        </w:rPr>
        <w:t xml:space="preserve">Adotou-se delineamento quase-experimental com dois grupos intatos de graduação, acompanhados por seis semanas. O grupo experimental utilizou cadernos digitais colaborativos com revisões semanais mediadas; o grupo controle manteve sua rotina habitual de anotações em papel. O desempenho foi medido por testes semanais de retenção e por uma tarefa de transferência ao final do período.</w:t>
      </w:r>
    </w:p>
    <w:p>
      <w:pPr>
        <w:spacing w:after="0" w:line="360"/>
        <w:ind w:firstLine="709"/>
        <w:jc w:val="both"/>
      </w:pPr>
      <w:r>
        <w:rPr>
          <w:rFonts w:ascii="Times New Roman" w:cs="Times New Roman" w:eastAsia="Times New Roman" w:hAnsi="Times New Roman"/>
          <w:sz w:val="24"/>
          <w:szCs w:val="24"/>
        </w:rPr>
        <w:t xml:space="preserve">A evolução comparada dos grupos é apresentada na Figura 1.</w:t>
      </w:r>
    </w:p>
    <w:p>
      <w:pPr>
        <w:keepNext/>
        <w:spacing w:after="120" w:before="240" w:line="240"/>
        <w:jc w:val="center"/>
      </w:pPr>
      <w:r>
        <w:rPr>
          <w:rFonts w:ascii="Times New Roman" w:cs="Times New Roman" w:eastAsia="Times New Roman" w:hAnsi="Times New Roman"/>
          <w:sz w:val="24"/>
          <w:szCs w:val="24"/>
        </w:rPr>
        <w:t xml:space="preserve">Figura </w:t>
      </w:r>
      <w:r>
        <w:fldChar w:fldCharType="begin" w:dirty="true"/>
        <w:instrText xml:space="preserve">SEQ Figura</w:instrText>
        <w:fldChar w:fldCharType="separate"/>
        <w:fldChar w:fldCharType="end"/>
      </w:r>
      <w:r>
        <w:rPr>
          <w:rFonts w:ascii="Times New Roman" w:cs="Times New Roman" w:eastAsia="Times New Roman" w:hAnsi="Times New Roman"/>
          <w:sz w:val="24"/>
          <w:szCs w:val="24"/>
        </w:rPr>
        <w:t xml:space="preserve"> – Evolução do desempenho médio por grupo ao longo das seis semanas de acompanhamento</w:t>
      </w:r>
    </w:p>
    <w:p>
      <w:pPr>
        <w:spacing w:after="120" w:before="120" w:line="240"/>
        <w:jc w:val="center"/>
      </w:pPr>
      <w:r>
        <w:drawing>
          <wp:inline distT="0" distB="0" distL="0" distR="0">
            <wp:extent cx="5762625" cy="34575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457575"/>
                    </a:xfrm>
                    <a:prstGeom prst="rect">
                      <a:avLst/>
                    </a:prstGeom>
                  </pic:spPr>
                </pic:pic>
              </a:graphicData>
            </a:graphic>
          </wp:inline>
        </w:drawing>
      </w:r>
    </w:p>
    <w:p>
      <w:pPr>
        <w:spacing w:after="240" w:before="120" w:line="240"/>
        <w:jc w:val="center"/>
      </w:pPr>
      <w:r>
        <w:rPr>
          <w:rFonts w:ascii="Times New Roman" w:cs="Times New Roman" w:eastAsia="Times New Roman" w:hAnsi="Times New Roman"/>
          <w:sz w:val="20"/>
          <w:szCs w:val="20"/>
        </w:rPr>
        <w:t xml:space="preserve">Fonte: elaborado pelos autores (2025).</w:t>
      </w:r>
    </w:p>
    <w:p>
      <w:pPr>
        <w:spacing w:after="0" w:line="360"/>
        <w:ind w:firstLine="709"/>
        <w:jc w:val="both"/>
      </w:pPr>
      <w:r>
        <w:rPr>
          <w:rFonts w:ascii="Times New Roman" w:cs="Times New Roman" w:eastAsia="Times New Roman" w:hAnsi="Times New Roman"/>
          <w:sz w:val="24"/>
          <w:szCs w:val="24"/>
        </w:rPr>
        <w:t xml:space="preserve">A Tabela 1 sintetiza os resultados da tarefa de transferência.</w:t>
      </w:r>
    </w:p>
    <w:p>
      <w:pPr>
        <w:keepNext/>
        <w:spacing w:after="120" w:before="240" w:line="240"/>
        <w:jc w:val="center"/>
      </w:pPr>
      <w:r>
        <w:rPr>
          <w:rFonts w:ascii="Times New Roman" w:cs="Times New Roman" w:eastAsia="Times New Roman" w:hAnsi="Times New Roman"/>
          <w:sz w:val="24"/>
          <w:szCs w:val="24"/>
        </w:rPr>
        <w:t xml:space="preserve">Tabela </w:t>
      </w:r>
      <w:r>
        <w:fldChar w:fldCharType="begin" w:dirty="true"/>
        <w:instrText xml:space="preserve">SEQ Tabela</w:instrText>
        <w:fldChar w:fldCharType="separate"/>
        <w:fldChar w:fldCharType="end"/>
      </w:r>
      <w:r>
        <w:rPr>
          <w:rFonts w:ascii="Times New Roman" w:cs="Times New Roman" w:eastAsia="Times New Roman" w:hAnsi="Times New Roman"/>
          <w:sz w:val="24"/>
          <w:szCs w:val="24"/>
        </w:rPr>
        <w:t xml:space="preserve"> – Desempenho na tarefa de transferência por grupo</w:t>
      </w:r>
    </w:p>
    <w:tbl>
      <w:tblPr>
        <w:tblW w:type="dxa" w:w="9071"/>
        <w:tblBorders>
          <w:top w:val="single" w:color="000000" w:sz="6"/>
          <w:left w:val="none" w:color="FFFFFF" w:sz="0"/>
          <w:bottom w:val="single" w:color="000000" w:sz="6"/>
          <w:right w:val="none" w:color="FFFFFF" w:sz="0"/>
          <w:insideH w:val="none" w:color="FFFFFF" w:sz="0"/>
          <w:insideV w:val="none" w:color="FFFFFF" w:sz="0"/>
        </w:tblBorders>
      </w:tblPr>
      <w:tblGrid>
        <w:gridCol w:w="2267"/>
        <w:gridCol w:w="2267"/>
        <w:gridCol w:w="2267"/>
        <w:gridCol w:w="2267"/>
      </w:tblGrid>
      <w:tr>
        <w:trPr>
          <w:tblHeader/>
        </w:trPr>
        <w:tc>
          <w:tcPr>
            <w:tcW w:type="dxa" w:w="2267"/>
            <w:tcBorders>
              <w:bottom w:val="single" w:color="000000" w:sz="6"/>
            </w:tcBorders>
            <w:tcMar>
              <w:top w:type="dxa" w:w="57"/>
              <w:left w:type="dxa" w:w="57"/>
              <w:bottom w:type="dxa" w:w="57"/>
              <w:right w:type="dxa" w:w="57"/>
            </w:tcMar>
          </w:tcPr>
          <w:p>
            <w:pPr>
              <w:spacing w:line="240"/>
              <w:jc w:val="center"/>
            </w:pPr>
            <w:r>
              <w:rPr>
                <w:rFonts w:ascii="Times New Roman" w:cs="Times New Roman" w:eastAsia="Times New Roman" w:hAnsi="Times New Roman"/>
                <w:b/>
                <w:bCs/>
                <w:sz w:val="20"/>
                <w:szCs w:val="20"/>
              </w:rPr>
              <w:t xml:space="preserve">Dimensão avaliada</w:t>
            </w:r>
          </w:p>
        </w:tc>
        <w:tc>
          <w:tcPr>
            <w:tcW w:type="dxa" w:w="2267"/>
            <w:tcBorders>
              <w:bottom w:val="single" w:color="000000" w:sz="6"/>
            </w:tcBorders>
            <w:tcMar>
              <w:top w:type="dxa" w:w="57"/>
              <w:left w:type="dxa" w:w="57"/>
              <w:bottom w:type="dxa" w:w="57"/>
              <w:right w:type="dxa" w:w="57"/>
            </w:tcMar>
          </w:tcPr>
          <w:p>
            <w:pPr>
              <w:spacing w:line="240"/>
              <w:jc w:val="center"/>
            </w:pPr>
            <w:r>
              <w:rPr>
                <w:rFonts w:ascii="Times New Roman" w:cs="Times New Roman" w:eastAsia="Times New Roman" w:hAnsi="Times New Roman"/>
                <w:b/>
                <w:bCs/>
                <w:sz w:val="20"/>
                <w:szCs w:val="20"/>
              </w:rPr>
              <w:t xml:space="preserve">Grupo experimental</w:t>
            </w:r>
          </w:p>
        </w:tc>
        <w:tc>
          <w:tcPr>
            <w:tcW w:type="dxa" w:w="2267"/>
            <w:tcBorders>
              <w:bottom w:val="single" w:color="000000" w:sz="6"/>
            </w:tcBorders>
            <w:tcMar>
              <w:top w:type="dxa" w:w="57"/>
              <w:left w:type="dxa" w:w="57"/>
              <w:bottom w:type="dxa" w:w="57"/>
              <w:right w:type="dxa" w:w="57"/>
            </w:tcMar>
          </w:tcPr>
          <w:p>
            <w:pPr>
              <w:spacing w:line="240"/>
              <w:jc w:val="center"/>
            </w:pPr>
            <w:r>
              <w:rPr>
                <w:rFonts w:ascii="Times New Roman" w:cs="Times New Roman" w:eastAsia="Times New Roman" w:hAnsi="Times New Roman"/>
                <w:b/>
                <w:bCs/>
                <w:sz w:val="20"/>
                <w:szCs w:val="20"/>
              </w:rPr>
              <w:t xml:space="preserve">Grupo controle</w:t>
            </w:r>
          </w:p>
        </w:tc>
        <w:tc>
          <w:tcPr>
            <w:tcW w:type="dxa" w:w="2267"/>
            <w:tcBorders>
              <w:bottom w:val="single" w:color="000000" w:sz="6"/>
            </w:tcBorders>
            <w:tcMar>
              <w:top w:type="dxa" w:w="57"/>
              <w:left w:type="dxa" w:w="57"/>
              <w:bottom w:type="dxa" w:w="57"/>
              <w:right w:type="dxa" w:w="57"/>
            </w:tcMar>
          </w:tcPr>
          <w:p>
            <w:pPr>
              <w:spacing w:line="240"/>
              <w:jc w:val="center"/>
            </w:pPr>
            <w:r>
              <w:rPr>
                <w:rFonts w:ascii="Times New Roman" w:cs="Times New Roman" w:eastAsia="Times New Roman" w:hAnsi="Times New Roman"/>
                <w:b/>
                <w:bCs/>
                <w:sz w:val="20"/>
                <w:szCs w:val="20"/>
              </w:rPr>
              <w:t xml:space="preserve">Valor p</w:t>
            </w:r>
          </w:p>
        </w:tc>
      </w:tr>
      <w:tr>
        <w:tc>
          <w:tcPr>
            <w:tcW w:type="dxa" w:w="2267"/>
            <w:tcBorders>
              <w:bottom w:val="none" w:color="FFFFFF" w:sz="0"/>
            </w:tcBorders>
            <w:tcMar>
              <w:top w:type="dxa" w:w="57"/>
              <w:left w:type="dxa" w:w="57"/>
              <w:bottom w:type="dxa" w:w="57"/>
              <w:right w:type="dxa" w:w="57"/>
            </w:tcMar>
          </w:tcPr>
          <w:p>
            <w:pPr>
              <w:spacing w:line="240"/>
              <w:jc w:val="left"/>
            </w:pPr>
            <w:r>
              <w:rPr>
                <w:rFonts w:ascii="Times New Roman" w:cs="Times New Roman" w:eastAsia="Times New Roman" w:hAnsi="Times New Roman"/>
                <w:sz w:val="20"/>
                <w:szCs w:val="20"/>
              </w:rPr>
              <w:t xml:space="preserve">Retenção imediata</w:t>
            </w:r>
          </w:p>
        </w:tc>
        <w:tc>
          <w:tcPr>
            <w:tcW w:type="dxa" w:w="2267"/>
            <w:tcBorders>
              <w:bottom w:val="none" w:color="FFFFFF" w:sz="0"/>
            </w:tcBorders>
            <w:tcMar>
              <w:top w:type="dxa" w:w="57"/>
              <w:left w:type="dxa" w:w="57"/>
              <w:bottom w:type="dxa" w:w="57"/>
              <w:right w:type="dxa" w:w="57"/>
            </w:tcMar>
          </w:tcPr>
          <w:p>
            <w:pPr>
              <w:spacing w:line="240"/>
              <w:jc w:val="center"/>
            </w:pPr>
            <w:r>
              <w:rPr>
                <w:rFonts w:ascii="Times New Roman" w:cs="Times New Roman" w:eastAsia="Times New Roman" w:hAnsi="Times New Roman"/>
                <w:sz w:val="20"/>
                <w:szCs w:val="20"/>
              </w:rPr>
              <w:t xml:space="preserve">78,4</w:t>
            </w:r>
          </w:p>
        </w:tc>
        <w:tc>
          <w:tcPr>
            <w:tcW w:type="dxa" w:w="2267"/>
            <w:tcBorders>
              <w:bottom w:val="none" w:color="FFFFFF" w:sz="0"/>
            </w:tcBorders>
            <w:tcMar>
              <w:top w:type="dxa" w:w="57"/>
              <w:left w:type="dxa" w:w="57"/>
              <w:bottom w:type="dxa" w:w="57"/>
              <w:right w:type="dxa" w:w="57"/>
            </w:tcMar>
          </w:tcPr>
          <w:p>
            <w:pPr>
              <w:spacing w:line="240"/>
              <w:jc w:val="center"/>
            </w:pPr>
            <w:r>
              <w:rPr>
                <w:rFonts w:ascii="Times New Roman" w:cs="Times New Roman" w:eastAsia="Times New Roman" w:hAnsi="Times New Roman"/>
                <w:sz w:val="20"/>
                <w:szCs w:val="20"/>
              </w:rPr>
              <w:t xml:space="preserve">71,2</w:t>
            </w:r>
          </w:p>
        </w:tc>
        <w:tc>
          <w:tcPr>
            <w:tcW w:type="dxa" w:w="2267"/>
            <w:tcBorders>
              <w:bottom w:val="none" w:color="FFFFFF" w:sz="0"/>
            </w:tcBorders>
            <w:tcMar>
              <w:top w:type="dxa" w:w="57"/>
              <w:left w:type="dxa" w:w="57"/>
              <w:bottom w:type="dxa" w:w="57"/>
              <w:right w:type="dxa" w:w="57"/>
            </w:tcMar>
          </w:tcPr>
          <w:p>
            <w:pPr>
              <w:spacing w:line="240"/>
              <w:jc w:val="right"/>
            </w:pPr>
            <w:r>
              <w:rPr>
                <w:rFonts w:ascii="Times New Roman" w:cs="Times New Roman" w:eastAsia="Times New Roman" w:hAnsi="Times New Roman"/>
                <w:sz w:val="20"/>
                <w:szCs w:val="20"/>
              </w:rPr>
              <w:t xml:space="preserve">0,013</w:t>
            </w:r>
          </w:p>
        </w:tc>
      </w:tr>
      <w:tr>
        <w:tc>
          <w:tcPr>
            <w:tcW w:type="dxa" w:w="2267"/>
            <w:tcBorders>
              <w:bottom w:val="none" w:color="FFFFFF" w:sz="0"/>
            </w:tcBorders>
            <w:tcMar>
              <w:top w:type="dxa" w:w="57"/>
              <w:left w:type="dxa" w:w="57"/>
              <w:bottom w:type="dxa" w:w="57"/>
              <w:right w:type="dxa" w:w="57"/>
            </w:tcMar>
          </w:tcPr>
          <w:p>
            <w:pPr>
              <w:spacing w:line="240"/>
              <w:jc w:val="left"/>
            </w:pPr>
            <w:r>
              <w:rPr>
                <w:rFonts w:ascii="Times New Roman" w:cs="Times New Roman" w:eastAsia="Times New Roman" w:hAnsi="Times New Roman"/>
                <w:sz w:val="20"/>
                <w:szCs w:val="20"/>
              </w:rPr>
              <w:t xml:space="preserve">Retenção tardia</w:t>
            </w:r>
          </w:p>
        </w:tc>
        <w:tc>
          <w:tcPr>
            <w:tcW w:type="dxa" w:w="2267"/>
            <w:tcBorders>
              <w:bottom w:val="none" w:color="FFFFFF" w:sz="0"/>
            </w:tcBorders>
            <w:tcMar>
              <w:top w:type="dxa" w:w="57"/>
              <w:left w:type="dxa" w:w="57"/>
              <w:bottom w:type="dxa" w:w="57"/>
              <w:right w:type="dxa" w:w="57"/>
            </w:tcMar>
          </w:tcPr>
          <w:p>
            <w:pPr>
              <w:spacing w:line="240"/>
              <w:jc w:val="center"/>
            </w:pPr>
            <w:r>
              <w:rPr>
                <w:rFonts w:ascii="Times New Roman" w:cs="Times New Roman" w:eastAsia="Times New Roman" w:hAnsi="Times New Roman"/>
                <w:sz w:val="20"/>
                <w:szCs w:val="20"/>
              </w:rPr>
              <w:t xml:space="preserve">74,1</w:t>
            </w:r>
          </w:p>
        </w:tc>
        <w:tc>
          <w:tcPr>
            <w:tcW w:type="dxa" w:w="2267"/>
            <w:tcBorders>
              <w:bottom w:val="none" w:color="FFFFFF" w:sz="0"/>
            </w:tcBorders>
            <w:tcMar>
              <w:top w:type="dxa" w:w="57"/>
              <w:left w:type="dxa" w:w="57"/>
              <w:bottom w:type="dxa" w:w="57"/>
              <w:right w:type="dxa" w:w="57"/>
            </w:tcMar>
          </w:tcPr>
          <w:p>
            <w:pPr>
              <w:spacing w:line="240"/>
              <w:jc w:val="center"/>
            </w:pPr>
            <w:r>
              <w:rPr>
                <w:rFonts w:ascii="Times New Roman" w:cs="Times New Roman" w:eastAsia="Times New Roman" w:hAnsi="Times New Roman"/>
                <w:sz w:val="20"/>
                <w:szCs w:val="20"/>
              </w:rPr>
              <w:t xml:space="preserve">65,8</w:t>
            </w:r>
          </w:p>
        </w:tc>
        <w:tc>
          <w:tcPr>
            <w:tcW w:type="dxa" w:w="2267"/>
            <w:tcBorders>
              <w:bottom w:val="none" w:color="FFFFFF" w:sz="0"/>
            </w:tcBorders>
            <w:tcMar>
              <w:top w:type="dxa" w:w="57"/>
              <w:left w:type="dxa" w:w="57"/>
              <w:bottom w:type="dxa" w:w="57"/>
              <w:right w:type="dxa" w:w="57"/>
            </w:tcMar>
          </w:tcPr>
          <w:p>
            <w:pPr>
              <w:spacing w:line="240"/>
              <w:jc w:val="right"/>
            </w:pPr>
            <w:r>
              <w:rPr>
                <w:rFonts w:ascii="Times New Roman" w:cs="Times New Roman" w:eastAsia="Times New Roman" w:hAnsi="Times New Roman"/>
                <w:sz w:val="20"/>
                <w:szCs w:val="20"/>
              </w:rPr>
              <w:t xml:space="preserve">0,004</w:t>
            </w:r>
          </w:p>
        </w:tc>
      </w:tr>
      <w:tr>
        <w:tc>
          <w:tcPr>
            <w:tcW w:type="dxa" w:w="2267"/>
            <w:tcBorders>
              <w:bottom w:val="none" w:color="FFFFFF" w:sz="0"/>
            </w:tcBorders>
            <w:tcMar>
              <w:top w:type="dxa" w:w="57"/>
              <w:left w:type="dxa" w:w="57"/>
              <w:bottom w:type="dxa" w:w="57"/>
              <w:right w:type="dxa" w:w="57"/>
            </w:tcMar>
          </w:tcPr>
          <w:p>
            <w:pPr>
              <w:spacing w:line="240"/>
              <w:jc w:val="left"/>
            </w:pPr>
            <w:r>
              <w:rPr>
                <w:rFonts w:ascii="Times New Roman" w:cs="Times New Roman" w:eastAsia="Times New Roman" w:hAnsi="Times New Roman"/>
                <w:sz w:val="20"/>
                <w:szCs w:val="20"/>
              </w:rPr>
              <w:t xml:space="preserve">Transferência near</w:t>
            </w:r>
          </w:p>
        </w:tc>
        <w:tc>
          <w:tcPr>
            <w:tcW w:type="dxa" w:w="2267"/>
            <w:tcBorders>
              <w:bottom w:val="none" w:color="FFFFFF" w:sz="0"/>
            </w:tcBorders>
            <w:tcMar>
              <w:top w:type="dxa" w:w="57"/>
              <w:left w:type="dxa" w:w="57"/>
              <w:bottom w:type="dxa" w:w="57"/>
              <w:right w:type="dxa" w:w="57"/>
            </w:tcMar>
          </w:tcPr>
          <w:p>
            <w:pPr>
              <w:spacing w:line="240"/>
              <w:jc w:val="center"/>
            </w:pPr>
            <w:r>
              <w:rPr>
                <w:rFonts w:ascii="Times New Roman" w:cs="Times New Roman" w:eastAsia="Times New Roman" w:hAnsi="Times New Roman"/>
                <w:sz w:val="20"/>
                <w:szCs w:val="20"/>
              </w:rPr>
              <w:t xml:space="preserve">81,6</w:t>
            </w:r>
          </w:p>
        </w:tc>
        <w:tc>
          <w:tcPr>
            <w:tcW w:type="dxa" w:w="2267"/>
            <w:tcBorders>
              <w:bottom w:val="none" w:color="FFFFFF" w:sz="0"/>
            </w:tcBorders>
            <w:tcMar>
              <w:top w:type="dxa" w:w="57"/>
              <w:left w:type="dxa" w:w="57"/>
              <w:bottom w:type="dxa" w:w="57"/>
              <w:right w:type="dxa" w:w="57"/>
            </w:tcMar>
          </w:tcPr>
          <w:p>
            <w:pPr>
              <w:spacing w:line="240"/>
              <w:jc w:val="center"/>
            </w:pPr>
            <w:r>
              <w:rPr>
                <w:rFonts w:ascii="Times New Roman" w:cs="Times New Roman" w:eastAsia="Times New Roman" w:hAnsi="Times New Roman"/>
                <w:sz w:val="20"/>
                <w:szCs w:val="20"/>
              </w:rPr>
              <w:t xml:space="preserve">68,3</w:t>
            </w:r>
          </w:p>
        </w:tc>
        <w:tc>
          <w:tcPr>
            <w:tcW w:type="dxa" w:w="2267"/>
            <w:tcBorders>
              <w:bottom w:val="none" w:color="FFFFFF" w:sz="0"/>
            </w:tcBorders>
            <w:tcMar>
              <w:top w:type="dxa" w:w="57"/>
              <w:left w:type="dxa" w:w="57"/>
              <w:bottom w:type="dxa" w:w="57"/>
              <w:right w:type="dxa" w:w="57"/>
            </w:tcMar>
          </w:tcPr>
          <w:p>
            <w:pPr>
              <w:spacing w:line="240"/>
              <w:jc w:val="right"/>
            </w:pPr>
            <w:r>
              <w:rPr>
                <w:rFonts w:ascii="Times New Roman" w:cs="Times New Roman" w:eastAsia="Times New Roman" w:hAnsi="Times New Roman"/>
                <w:sz w:val="20"/>
                <w:szCs w:val="20"/>
              </w:rPr>
              <w:t xml:space="preserve">&lt;0,001</w:t>
            </w:r>
          </w:p>
        </w:tc>
      </w:tr>
      <w:tr>
        <w:tc>
          <w:tcPr>
            <w:tcW w:type="dxa" w:w="2267"/>
            <w:tcBorders>
              <w:bottom w:val="none" w:color="FFFFFF" w:sz="0"/>
            </w:tcBorders>
            <w:tcMar>
              <w:top w:type="dxa" w:w="57"/>
              <w:left w:type="dxa" w:w="57"/>
              <w:bottom w:type="dxa" w:w="57"/>
              <w:right w:type="dxa" w:w="57"/>
            </w:tcMar>
          </w:tcPr>
          <w:p>
            <w:pPr>
              <w:spacing w:line="240"/>
              <w:jc w:val="left"/>
            </w:pPr>
            <w:r>
              <w:rPr>
                <w:rFonts w:ascii="Times New Roman" w:cs="Times New Roman" w:eastAsia="Times New Roman" w:hAnsi="Times New Roman"/>
                <w:sz w:val="20"/>
                <w:szCs w:val="20"/>
              </w:rPr>
              <w:t xml:space="preserve">Transferência far</w:t>
            </w:r>
          </w:p>
        </w:tc>
        <w:tc>
          <w:tcPr>
            <w:tcW w:type="dxa" w:w="2267"/>
            <w:tcBorders>
              <w:bottom w:val="none" w:color="FFFFFF" w:sz="0"/>
            </w:tcBorders>
            <w:tcMar>
              <w:top w:type="dxa" w:w="57"/>
              <w:left w:type="dxa" w:w="57"/>
              <w:bottom w:type="dxa" w:w="57"/>
              <w:right w:type="dxa" w:w="57"/>
            </w:tcMar>
          </w:tcPr>
          <w:p>
            <w:pPr>
              <w:spacing w:line="240"/>
              <w:jc w:val="center"/>
            </w:pPr>
            <w:r>
              <w:rPr>
                <w:rFonts w:ascii="Times New Roman" w:cs="Times New Roman" w:eastAsia="Times New Roman" w:hAnsi="Times New Roman"/>
                <w:sz w:val="20"/>
                <w:szCs w:val="20"/>
              </w:rPr>
              <w:t xml:space="preserve">69,7</w:t>
            </w:r>
          </w:p>
        </w:tc>
        <w:tc>
          <w:tcPr>
            <w:tcW w:type="dxa" w:w="2267"/>
            <w:tcBorders>
              <w:bottom w:val="none" w:color="FFFFFF" w:sz="0"/>
            </w:tcBorders>
            <w:tcMar>
              <w:top w:type="dxa" w:w="57"/>
              <w:left w:type="dxa" w:w="57"/>
              <w:bottom w:type="dxa" w:w="57"/>
              <w:right w:type="dxa" w:w="57"/>
            </w:tcMar>
          </w:tcPr>
          <w:p>
            <w:pPr>
              <w:spacing w:line="240"/>
              <w:jc w:val="center"/>
            </w:pPr>
            <w:r>
              <w:rPr>
                <w:rFonts w:ascii="Times New Roman" w:cs="Times New Roman" w:eastAsia="Times New Roman" w:hAnsi="Times New Roman"/>
                <w:sz w:val="20"/>
                <w:szCs w:val="20"/>
              </w:rPr>
              <w:t xml:space="preserve">61,5</w:t>
            </w:r>
          </w:p>
        </w:tc>
        <w:tc>
          <w:tcPr>
            <w:tcW w:type="dxa" w:w="2267"/>
            <w:tcBorders>
              <w:bottom w:val="none" w:color="FFFFFF" w:sz="0"/>
            </w:tcBorders>
            <w:tcMar>
              <w:top w:type="dxa" w:w="57"/>
              <w:left w:type="dxa" w:w="57"/>
              <w:bottom w:type="dxa" w:w="57"/>
              <w:right w:type="dxa" w:w="57"/>
            </w:tcMar>
          </w:tcPr>
          <w:p>
            <w:pPr>
              <w:spacing w:line="240"/>
              <w:jc w:val="right"/>
            </w:pPr>
            <w:r>
              <w:rPr>
                <w:rFonts w:ascii="Times New Roman" w:cs="Times New Roman" w:eastAsia="Times New Roman" w:hAnsi="Times New Roman"/>
                <w:sz w:val="20"/>
                <w:szCs w:val="20"/>
              </w:rPr>
              <w:t xml:space="preserve">0,021</w:t>
            </w:r>
          </w:p>
        </w:tc>
      </w:tr>
    </w:tbl>
    <w:p>
      <w:pPr>
        <w:spacing w:after="240" w:before="120" w:line="240"/>
        <w:jc w:val="center"/>
      </w:pPr>
      <w:r>
        <w:rPr>
          <w:rFonts w:ascii="Times New Roman" w:cs="Times New Roman" w:eastAsia="Times New Roman" w:hAnsi="Times New Roman"/>
          <w:sz w:val="20"/>
          <w:szCs w:val="20"/>
        </w:rPr>
        <w:t xml:space="preserve">Fonte: dados da pesquisa (2025).</w:t>
      </w:r>
    </w:p>
    <w:p>
      <w:pPr>
        <w:pStyle w:val="Heading1"/>
        <w:keepNext/>
        <w:spacing w:after="360" w:before="480" w:line="240"/>
        <w:jc w:val="left"/>
      </w:pPr>
      <w:bookmarkStart w:name="_Toc6" w:id="6"/>
      <w:r>
        <w:rPr>
          <w:rFonts w:ascii="Times New Roman" w:cs="Times New Roman" w:eastAsia="Times New Roman" w:hAnsi="Times New Roman"/>
          <w:b/>
          <w:bCs/>
          <w:i w:val="false"/>
          <w:iCs w:val="false"/>
          <w:caps/>
          <w:sz w:val="24"/>
          <w:szCs w:val="24"/>
        </w:rPr>
        <w:t xml:space="preserve">4 Resultados e discussão</w:t>
      </w:r>
      <w:bookmarkEnd w:id="6"/>
    </w:p>
    <w:p>
      <w:pPr>
        <w:spacing w:after="0" w:line="360"/>
        <w:ind w:firstLine="709"/>
        <w:jc w:val="both"/>
      </w:pPr>
      <w:r>
        <w:rPr>
          <w:rFonts w:ascii="Times New Roman" w:cs="Times New Roman" w:eastAsia="Times New Roman" w:hAnsi="Times New Roman"/>
          <w:sz w:val="24"/>
          <w:szCs w:val="24"/>
        </w:rPr>
        <w:t xml:space="preserve">Os resultados confirmam a hipótese central: a combinação de anotações digitais com revisões colaborativas produziu ganhos médios de 9,8 pontos na retenção tardia e de 13,3 pontos na transferência near em relação ao grupo controle. Esses achados convergem com (LIMA, 2023) e estendem (MENDES, 2021) ao contexto de disciplinas de formação inicial.</w:t>
      </w:r>
    </w:p>
    <w:p>
      <w:pPr>
        <w:spacing w:after="0" w:line="360"/>
        <w:ind w:firstLine="709"/>
        <w:jc w:val="both"/>
      </w:pPr>
      <w:r>
        <w:rPr>
          <w:rFonts w:ascii="Times New Roman" w:cs="Times New Roman" w:eastAsia="Times New Roman" w:hAnsi="Times New Roman"/>
          <w:sz w:val="24"/>
          <w:szCs w:val="24"/>
        </w:rPr>
        <w:t xml:space="preserve">Dois pontos merecem destaque. Primeiro, o efeito foi mais acentuado entre estudantes com repertório digital prévio mais organizado, o que sugere mediação pela qualidade do sistema pessoal de anotações. Segundo, a diferença na dimensão de transferência far foi positiva, porém menor, indicando que a revisão colaborativa favorece sobretudo a aplicação em contextos próximos ao originalmente estudado (ALMEIDA, 2019).</w:t>
      </w:r>
    </w:p>
    <w:p>
      <w:pPr>
        <w:spacing w:after="0" w:line="360"/>
        <w:ind w:firstLine="709"/>
        <w:jc w:val="both"/>
      </w:pPr>
      <w:r>
        <w:rPr>
          <w:rFonts w:ascii="Times New Roman" w:cs="Times New Roman" w:eastAsia="Times New Roman" w:hAnsi="Times New Roman"/>
          <w:sz w:val="24"/>
          <w:szCs w:val="24"/>
        </w:rPr>
        <w:t xml:space="preserve">O modelo de crescimento observado pode ser aproximado pela expressão</w:t>
      </w:r>
    </w:p>
    <w:p>
      <w:pPr>
        <w:tabs>
          <w:tab w:val="right" w:pos="9071"/>
        </w:tabs>
        <w:spacing w:after="120" w:before="120" w:line="360"/>
        <w:jc w:val="center"/>
      </w:pPr>
      <w:r>
        <w:rPr>
          <w:rFonts w:ascii="Times New Roman" w:cs="Times New Roman" w:eastAsia="Times New Roman" w:hAnsi="Times New Roman"/>
          <w:i/>
          <w:iCs/>
          <w:sz w:val="24"/>
          <w:szCs w:val="24"/>
        </w:rPr>
        <w:t xml:space="preserve">D(t) = D</w:t>
      </w:r>
      <w:r>
        <w:rPr>
          <w:rFonts w:ascii="Times New Roman" w:cs="Times New Roman" w:eastAsia="Times New Roman" w:hAnsi="Times New Roman"/>
          <w:i/>
          <w:iCs/>
          <w:sz w:val="24"/>
          <w:szCs w:val="24"/>
          <w:vertAlign w:val="subscript"/>
        </w:rPr>
        <w:t xml:space="preserve">0</w:t>
      </w:r>
      <w:r>
        <w:rPr>
          <w:rFonts w:ascii="Times New Roman" w:cs="Times New Roman" w:eastAsia="Times New Roman" w:hAnsi="Times New Roman"/>
          <w:i/>
          <w:iCs/>
          <w:sz w:val="24"/>
          <w:szCs w:val="24"/>
        </w:rPr>
        <w:t xml:space="preserve"> + α · √(t)</w:t>
      </w:r>
      <w:r>
        <w:rPr>
          <w:rFonts w:ascii="Times New Roman" w:cs="Times New Roman" w:eastAsia="Times New Roman" w:hAnsi="Times New Roman"/>
          <w:sz w:val="24"/>
          <w:szCs w:val="24"/>
        </w:rPr>
        <w:tab/>
        <w:t xml:space="preserve">(1)</w:t>
      </w:r>
    </w:p>
    <w:p>
      <w:pPr>
        <w:spacing w:after="0" w:line="360"/>
        <w:ind w:firstLine="709"/>
        <w:jc w:val="both"/>
      </w:pPr>
      <w:r>
        <w:rPr>
          <w:rFonts w:ascii="Times New Roman" w:cs="Times New Roman" w:eastAsia="Times New Roman" w:hAnsi="Times New Roman"/>
          <w:sz w:val="24"/>
          <w:szCs w:val="24"/>
        </w:rPr>
        <w:t xml:space="preserve">em que </w:t>
      </w:r>
      <w:r>
        <w:rPr>
          <w:rFonts w:ascii="Times New Roman" w:cs="Times New Roman" w:eastAsia="Times New Roman" w:hAnsi="Times New Roman"/>
          <w:i/>
          <w:iCs/>
          <w:sz w:val="24"/>
          <w:szCs w:val="24"/>
        </w:rPr>
        <w:t xml:space="preserve">D(t)</w:t>
      </w:r>
      <w:r>
        <w:rPr>
          <w:rFonts w:ascii="Times New Roman" w:cs="Times New Roman" w:eastAsia="Times New Roman" w:hAnsi="Times New Roman"/>
          <w:sz w:val="24"/>
          <w:szCs w:val="24"/>
        </w:rPr>
        <w:t xml:space="preserve"> representa o desempenho esperado na semana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α</w:t>
      </w:r>
      <w:r>
        <w:rPr>
          <w:rFonts w:ascii="Times New Roman" w:cs="Times New Roman" w:eastAsia="Times New Roman" w:hAnsi="Times New Roman"/>
          <w:sz w:val="24"/>
          <w:szCs w:val="24"/>
        </w:rPr>
        <w:t xml:space="preserve"> o coeficiente de ganho atribuível à revisão colaborativa.</w:t>
      </w:r>
    </w:p>
    <w:p>
      <w:pPr>
        <w:pStyle w:val="Heading1"/>
        <w:keepNext/>
        <w:spacing w:after="360" w:before="480" w:line="240"/>
        <w:jc w:val="left"/>
      </w:pPr>
      <w:bookmarkStart w:name="_Toc7" w:id="7"/>
      <w:r>
        <w:rPr>
          <w:rFonts w:ascii="Times New Roman" w:cs="Times New Roman" w:eastAsia="Times New Roman" w:hAnsi="Times New Roman"/>
          <w:b/>
          <w:bCs/>
          <w:i w:val="false"/>
          <w:iCs w:val="false"/>
          <w:caps/>
          <w:sz w:val="24"/>
          <w:szCs w:val="24"/>
        </w:rPr>
        <w:t xml:space="preserve">5 Considerações finais</w:t>
      </w:r>
      <w:bookmarkEnd w:id="7"/>
    </w:p>
    <w:p>
      <w:pPr>
        <w:spacing w:after="0" w:line="360"/>
        <w:ind w:firstLine="709"/>
        <w:jc w:val="both"/>
      </w:pPr>
      <w:r>
        <w:rPr>
          <w:rFonts w:ascii="Times New Roman" w:cs="Times New Roman" w:eastAsia="Times New Roman" w:hAnsi="Times New Roman"/>
          <w:sz w:val="24"/>
          <w:szCs w:val="24"/>
        </w:rPr>
        <w:t xml:space="preserve">O estudo demonstra que o valor das anotações digitais não está no suporte em si, mas no desenho pedagógico que o atravessa: estruturação dos cadernos, ritmo de revisão e interação entre pares. Para futuras investigações, recomenda-se acompanhar os mesmos grupos por um período semestral e examinar a persistência dos ganhos após a interrupção das mediações.</w:t>
      </w:r>
    </w:p>
    <w:p>
      <w:pPr>
        <w:pStyle w:val="Heading1"/>
        <w:keepNext/>
        <w:spacing w:after="360" w:before="480" w:line="240"/>
        <w:jc w:val="center"/>
      </w:pPr>
      <w:bookmarkStart w:name="_Toc8" w:id="8"/>
      <w:r>
        <w:rPr>
          <w:rFonts w:ascii="Times New Roman" w:cs="Times New Roman" w:eastAsia="Times New Roman" w:hAnsi="Times New Roman"/>
          <w:b/>
          <w:bCs/>
          <w:caps/>
          <w:sz w:val="24"/>
          <w:szCs w:val="24"/>
        </w:rPr>
        <w:t xml:space="preserve">REFERÊNCIAS</w:t>
      </w:r>
      <w:bookmarkEnd w:id="8"/>
    </w:p>
    <w:p>
      <w:pPr>
        <w:spacing w:after="240" w:line="240"/>
        <w:jc w:val="left"/>
      </w:pPr>
      <w:r>
        <w:rPr>
          <w:rFonts w:ascii="Times New Roman" w:cs="Times New Roman" w:eastAsia="Times New Roman" w:hAnsi="Times New Roman"/>
          <w:sz w:val="24"/>
          <w:szCs w:val="24"/>
        </w:rPr>
        <w:t xml:space="preserve">ALMEIDA, Fernanda Rodrigues de. </w:t>
      </w:r>
      <w:r>
        <w:rPr>
          <w:rFonts w:ascii="Times New Roman" w:cs="Times New Roman" w:eastAsia="Times New Roman" w:hAnsi="Times New Roman"/>
          <w:b/>
          <w:bCs/>
          <w:sz w:val="24"/>
          <w:szCs w:val="24"/>
        </w:rPr>
        <w:t xml:space="preserve">Aprendizagem ativa e reconstrução do conhecimento</w:t>
      </w:r>
      <w:r>
        <w:rPr>
          <w:rFonts w:ascii="Times New Roman" w:cs="Times New Roman" w:eastAsia="Times New Roman" w:hAnsi="Times New Roman"/>
          <w:sz w:val="24"/>
          <w:szCs w:val="24"/>
        </w:rPr>
        <w:t xml:space="preserve">. São Paulo: Editora Acadêmica, 2019.</w:t>
      </w:r>
    </w:p>
    <w:p>
      <w:pPr>
        <w:spacing w:after="240" w:line="240"/>
        <w:jc w:val="left"/>
      </w:pPr>
      <w:r>
        <w:rPr>
          <w:rFonts w:ascii="Times New Roman" w:cs="Times New Roman" w:eastAsia="Times New Roman" w:hAnsi="Times New Roman"/>
          <w:sz w:val="24"/>
          <w:szCs w:val="24"/>
        </w:rPr>
        <w:t xml:space="preserve">LIMA, Rafael Costa; SOUZA, Marina Duarte. Cadernos digitais colaborativos e metacognição no ensino superior. </w:t>
      </w:r>
      <w:r>
        <w:rPr>
          <w:rFonts w:ascii="Times New Roman" w:cs="Times New Roman" w:eastAsia="Times New Roman" w:hAnsi="Times New Roman"/>
          <w:i/>
          <w:iCs/>
          <w:sz w:val="24"/>
          <w:szCs w:val="24"/>
        </w:rPr>
        <w:t xml:space="preserve">Educação e Tecnologia</w:t>
      </w:r>
      <w:r>
        <w:rPr>
          <w:rFonts w:ascii="Times New Roman" w:cs="Times New Roman" w:eastAsia="Times New Roman" w:hAnsi="Times New Roman"/>
          <w:sz w:val="24"/>
          <w:szCs w:val="24"/>
        </w:rPr>
        <w:t xml:space="preserve">, v. 18, n. 2, p. 45-63, 2023.</w:t>
      </w:r>
    </w:p>
    <w:p>
      <w:pPr>
        <w:spacing w:after="240" w:line="240"/>
        <w:jc w:val="left"/>
      </w:pPr>
      <w:r>
        <w:rPr>
          <w:rFonts w:ascii="Times New Roman" w:cs="Times New Roman" w:eastAsia="Times New Roman" w:hAnsi="Times New Roman"/>
          <w:sz w:val="24"/>
          <w:szCs w:val="24"/>
        </w:rPr>
        <w:t xml:space="preserve">MENDES, Paula Aparecida. Anotações de estudo e desempenho acadêmico: uma revisão sistemática. </w:t>
      </w:r>
      <w:r>
        <w:rPr>
          <w:rFonts w:ascii="Times New Roman" w:cs="Times New Roman" w:eastAsia="Times New Roman" w:hAnsi="Times New Roman"/>
          <w:b/>
          <w:bCs/>
          <w:sz w:val="24"/>
          <w:szCs w:val="24"/>
        </w:rPr>
        <w:t xml:space="preserve">Cadernos de Pesquisa Universitária</w:t>
      </w:r>
      <w:r>
        <w:rPr>
          <w:rFonts w:ascii="Times New Roman" w:cs="Times New Roman" w:eastAsia="Times New Roman" w:hAnsi="Times New Roman"/>
          <w:sz w:val="24"/>
          <w:szCs w:val="24"/>
        </w:rPr>
        <w:t xml:space="preserve">, v. 29, n. 1, p. 12-34, 2021.</w:t>
      </w:r>
    </w:p>
    <w:p>
      <w:pPr>
        <w:spacing w:after="240" w:line="240"/>
        <w:jc w:val="left"/>
      </w:pPr>
      <w:r>
        <w:rPr>
          <w:rFonts w:ascii="Times New Roman" w:cs="Times New Roman" w:eastAsia="Times New Roman" w:hAnsi="Times New Roman"/>
          <w:sz w:val="24"/>
          <w:szCs w:val="24"/>
        </w:rPr>
        <w:t xml:space="preserve">OLIVEIRA, Thiago Nunes de. Do papel à tela: estratégias cognitivas de estudantes universitários. </w:t>
      </w:r>
      <w:r>
        <w:rPr>
          <w:rFonts w:ascii="Times New Roman" w:cs="Times New Roman" w:eastAsia="Times New Roman" w:hAnsi="Times New Roman"/>
          <w:i/>
          <w:iCs/>
          <w:sz w:val="24"/>
          <w:szCs w:val="24"/>
        </w:rPr>
        <w:t xml:space="preserve">Revista Brasileira de Educação</w:t>
      </w:r>
      <w:r>
        <w:rPr>
          <w:rFonts w:ascii="Times New Roman" w:cs="Times New Roman" w:eastAsia="Times New Roman" w:hAnsi="Times New Roman"/>
          <w:sz w:val="24"/>
          <w:szCs w:val="24"/>
        </w:rPr>
        <w:t xml:space="preserve">, v. 27, p. 1-22, 2022.</w:t>
      </w:r>
    </w:p>
    <w:p>
      <w:pPr>
        <w:spacing w:after="240" w:line="240"/>
        <w:jc w:val="left"/>
      </w:pPr>
      <w:r>
        <w:rPr>
          <w:rFonts w:ascii="Times New Roman" w:cs="Times New Roman" w:eastAsia="Times New Roman" w:hAnsi="Times New Roman"/>
          <w:sz w:val="24"/>
          <w:szCs w:val="24"/>
        </w:rPr>
        <w:t xml:space="preserve">SOUZA, Marina Duarte. </w:t>
      </w:r>
      <w:r>
        <w:rPr>
          <w:rFonts w:ascii="Times New Roman" w:cs="Times New Roman" w:eastAsia="Times New Roman" w:hAnsi="Times New Roman"/>
          <w:b/>
          <w:bCs/>
          <w:sz w:val="24"/>
          <w:szCs w:val="24"/>
        </w:rPr>
        <w:t xml:space="preserve">Métodos de estudo na universidade</w:t>
      </w:r>
      <w:r>
        <w:rPr>
          <w:rFonts w:ascii="Times New Roman" w:cs="Times New Roman" w:eastAsia="Times New Roman" w:hAnsi="Times New Roman"/>
          <w:sz w:val="24"/>
          <w:szCs w:val="24"/>
        </w:rPr>
        <w:t xml:space="preserve">. 3. ed. Campinas: Editora Universitária, 2020.</w:t>
      </w:r>
    </w:p>
    <w:sectPr>
      <w:headerReference w:type="default" r:id="rId6"/>
      <w:headerReference w:type="first" r:id="rId7"/>
      <w:pgSz w:w="11906" w:h="16838" w:orient="portrait"/>
      <w:pgMar w:top="1701" w:right="1134" w:bottom="1134" w:left="1701" w:header="1134" w:footer="709"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r>
    <w:r>
      <w:rPr>
        <w:rFonts w:ascii="Times New Roman" w:cs="Times New Roman" w:eastAsia="Times New Roman" w:hAnsi="Times New Roman"/>
        <w:sz w:val="24"/>
        <w:szCs w:val="24"/>
      </w:rPr>
      <w:instrText xml:space="preserve">PAGE</w:instrText>
    </w:r>
    <w:r>
      <w:rPr>
        <w:rFonts w:ascii="Times New Roman" w:cs="Times New Roman" w:eastAsia="Times New Roman" w:hAnsi="Times New Roman"/>
        <w:sz w:val="24"/>
        <w:szCs w:val="24"/>
      </w:rPr>
      <w:fldChar w:fldCharType="separate"/>
    </w:r>
    <w:r>
      <w:rPr>
        <w:rFonts w:ascii="Times New Roman" w:cs="Times New Roman" w:eastAsia="Times New Roman" w:hAnsi="Times New Roman"/>
        <w:sz w:val="24"/>
        <w:szCs w:val="24"/>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color w:val="000000"/>
      <w:sz w:val="24"/>
      <w:szCs w:val="24"/>
    </w:rPr>
  </w:style>
  <w:style w:type="paragraph" w:styleId="Heading3">
    <w:name w:val="Heading 3"/>
    <w:basedOn w:val="Normal"/>
    <w:next w:val="Normal"/>
    <w:qFormat/>
    <w:rPr>
      <w:rFonts w:ascii="Times New Roman" w:cs="Times New Roman" w:eastAsia="Times New Roman" w:hAnsi="Times New Roman"/>
      <w:b/>
      <w:bCs/>
      <w:color w:val="000000"/>
      <w:sz w:val="24"/>
      <w:szCs w:val="24"/>
    </w:rPr>
  </w:style>
  <w:style w:type="paragraph" w:styleId="Heading4">
    <w:name w:val="Heading 4"/>
    <w:basedOn w:val="Normal"/>
    <w:next w:val="Normal"/>
    <w:qFormat/>
    <w:rPr>
      <w:rFonts w:ascii="Times New Roman" w:cs="Times New Roman" w:eastAsia="Times New Roman" w:hAnsi="Times New Roman"/>
      <w:i/>
      <w:iCs/>
      <w:color w:val="000000"/>
      <w:sz w:val="24"/>
      <w:szCs w:val="24"/>
    </w:rPr>
  </w:style>
  <w:style w:type="paragraph" w:styleId="Heading5">
    <w:name w:val="Heading 5"/>
    <w:basedOn w:val="Normal"/>
    <w:next w:val="Normal"/>
    <w:qFormat/>
    <w:rPr>
      <w:rFonts w:ascii="Times New Roman" w:cs="Times New Roman" w:eastAsia="Times New Roman" w:hAnsi="Times New Roman"/>
      <w:color w:val="000000"/>
      <w:sz w:val="24"/>
      <w:szCs w:val="24"/>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theme" Target="theme/theme1.xml"/><Relationship Id="rId9" Type="http://schemas.openxmlformats.org/officeDocument/2006/relationships/image" Target="media/42258ed59e6d300add83b06fe180c00758576d7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Anotações digitais e aprendizagem ativa</dc:title>
  <dc:creator>MD2ABNT</dc:creator>
  <dc:description>Documento gerado automaticamente nos padrões ABNT</dc:description>
  <cp:lastModifiedBy>Un-named</cp:lastModifiedBy>
  <cp:revision>1</cp:revision>
  <dcterms:created xsi:type="dcterms:W3CDTF">2026-10-24T10:16:11.238Z</dcterms:created>
  <dcterms:modified xsi:type="dcterms:W3CDTF">2026-10-24T10:16:11.238Z</dcterms:modified>
</cp:coreProperties>
</file>

<file path=docProps/custom.xml><?xml version="1.0" encoding="utf-8"?>
<Properties xmlns="http://schemas.openxmlformats.org/officeDocument/2006/custom-properties" xmlns:vt="http://schemas.openxmlformats.org/officeDocument/2006/docPropsVTypes"/>
</file>