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Yu Gothic" w:hAnsi="Yu Gothic" w:eastAsia="Yu Gothic"/>
          <w:b/>
          <w:color w:val="000000"/>
          <w:sz w:val="40"/>
        </w:rPr>
        <w:t>TSVからpGenデータ作成仕様書</w:t>
      </w:r>
    </w:p>
    <w:p>
      <w:pPr>
        <w:spacing w:after="200"/>
      </w:pPr>
      <w:r>
        <w:rPr>
          <w:rFonts w:ascii="Yu Gothic" w:hAnsi="Yu Gothic" w:eastAsia="Yu Gothic"/>
          <w:color w:val="555555"/>
          <w:sz w:val="20"/>
        </w:rPr>
        <w:t>対象: IgBLAST AIRR outfmt 19 TSV / 更新日: 2026-06-09 / 目的: OLGA pGen計算の再現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</w:rPr>
              <w:t>本書はpGen計算の詳細仕様である。全体フロー、採用フィルタ、pGen-SHM図表の統合仕様はpGen-SHM仕様書に記載する。</w:t>
            </w:r>
          </w:p>
        </w:tc>
      </w:tr>
    </w:tbl>
    <w:p>
      <w:pPr>
        <w:pStyle w:val="Heading1"/>
      </w:pPr>
      <w:r>
        <w:t>1. 目的と位置づけ</w:t>
      </w:r>
    </w:p>
    <w:p>
      <w:pPr>
        <w:spacing w:after="120"/>
      </w:pPr>
      <w:r>
        <w:t>pGenは、junction_aaとして表されたCDR3 amino acid配列が、OLGAのヒトB細胞重鎖モデルで生成される確率である。本解析では、pGen-SHM plotのx軸およびpGen分布図の作成に使う。</w:t>
      </w:r>
    </w:p>
    <w:p>
      <w:pPr>
        <w:spacing w:after="120"/>
      </w:pPr>
      <w:r>
        <w:t>pGen計算そのものにV call、J call、v_identityは渡さない。OLGAにはjunction_aaのみを渡す。ただし、解析対象はIGHを前提とするため、共通フィルタでlocusやproductiveを確認した後の行を対象とする。</w:t>
      </w:r>
    </w:p>
    <w:p>
      <w:r>
        <w:t>pGen計算は内部ではunique junction_aaごとに効率化して行うが、解析単位をunique junction_aaに変更するわけではない。計算後のpGen値は、同じjunction_aaを持つすべてのrow-level行へ戻す。</w:t>
      </w:r>
    </w:p>
    <w:p>
      <w:r>
        <w:t>このため、同じjunction_aaを持つ複数のsequence_idは同じpGenを共有する。しかしSHMや参考AIRR列は行ごとに異なり得るため、pGen-SHM解析ではそれらを別のrow-level行として保持する。</w:t>
      </w:r>
    </w:p>
    <w:p>
      <w:pPr>
        <w:pStyle w:val="Heading1"/>
      </w:pPr>
      <w:r>
        <w:t>2. 入力と前提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200"/>
        <w:gridCol w:w="7160"/>
      </w:tblGrid>
      <w:tr>
        <w:tc>
          <w:tcPr>
            <w:tcW w:type="dxa" w:w="220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</w:rPr>
              <w:t>項目</w:t>
            </w:r>
          </w:p>
        </w:tc>
        <w:tc>
          <w:tcPr>
            <w:tcW w:type="dxa" w:w="716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</w:rPr>
              <w:t>仕様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入力</w:t>
            </w:r>
          </w:p>
        </w:tc>
        <w:tc>
          <w:tcPr>
            <w:tcW w:type="dxa" w:w="71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pGen-SHM仕様書の採用フィルタを通過したAIRR行のjunction_aa。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モデル</w:t>
            </w:r>
          </w:p>
        </w:tc>
        <w:tc>
          <w:tcPr>
            <w:tcW w:type="dxa" w:w="71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OLGA default_models/human_B_heavy。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計算単位</w:t>
            </w:r>
          </w:p>
        </w:tc>
        <w:tc>
          <w:tcPr>
            <w:tcW w:type="dxa" w:w="71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内部計算はunique junction_aaごとに行う。結果はrow-level表の各sequence_id行へ戻す。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IGH前提</w:t>
            </w:r>
          </w:p>
        </w:tc>
        <w:tc>
          <w:tcPr>
            <w:tcW w:type="dxa" w:w="71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OLGA human_B_heavyを使うため、基本はIGH専用。IGK/IGL混在TSVはlocusフィルタで除外する。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C/WF条件</w:t>
            </w:r>
          </w:p>
        </w:tc>
        <w:tc>
          <w:tcPr>
            <w:tcW w:type="dxa" w:w="71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現行ではjunction_aaの先頭C・末尾W/Fを必須条件にしない。非canonical配列もpGen=0やQCで確認する。</w:t>
            </w:r>
          </w:p>
        </w:tc>
      </w:tr>
    </w:tbl>
    <w:p/>
    <w:p>
      <w:pPr>
        <w:pStyle w:val="Heading1"/>
      </w:pPr>
      <w:r>
        <w:t>3. junction_aaの採用条件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100"/>
        <w:gridCol w:w="2100"/>
        <w:gridCol w:w="5160"/>
      </w:tblGrid>
      <w:tr>
        <w:tc>
          <w:tcPr>
            <w:tcW w:type="dxa" w:w="210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</w:rPr>
              <w:t>条件</w:t>
            </w:r>
          </w:p>
        </w:tc>
        <w:tc>
          <w:tcPr>
            <w:tcW w:type="dxa" w:w="210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</w:rPr>
              <w:t>扱い</w:t>
            </w:r>
          </w:p>
        </w:tc>
        <w:tc>
          <w:tcPr>
            <w:tcW w:type="dxa" w:w="516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</w:rPr>
              <w:t>理由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空欄</w:t>
            </w:r>
          </w:p>
        </w:tc>
        <w:tc>
          <w:tcPr>
            <w:tcW w:type="dxa" w:w="21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除外</w:t>
            </w:r>
          </w:p>
        </w:tc>
        <w:tc>
          <w:tcPr>
            <w:tcW w:type="dxa" w:w="51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OLGAへ渡すCDR3 AA配列がない。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*を含む</w:t>
            </w:r>
          </w:p>
        </w:tc>
        <w:tc>
          <w:tcPr>
            <w:tcW w:type="dxa" w:w="21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除外</w:t>
            </w:r>
          </w:p>
        </w:tc>
        <w:tc>
          <w:tcPr>
            <w:tcW w:type="dxa" w:w="51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stop codonを含むAA配列として扱う。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Xを含む</w:t>
            </w:r>
          </w:p>
        </w:tc>
        <w:tc>
          <w:tcPr>
            <w:tcW w:type="dxa" w:w="21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除外</w:t>
            </w:r>
          </w:p>
        </w:tc>
        <w:tc>
          <w:tcPr>
            <w:tcW w:type="dxa" w:w="51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不明AAを含み、pGen計算の前提が崩れる。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アルファベット以外を含む</w:t>
            </w:r>
          </w:p>
        </w:tc>
        <w:tc>
          <w:tcPr>
            <w:tcW w:type="dxa" w:w="21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除外</w:t>
            </w:r>
          </w:p>
        </w:tc>
        <w:tc>
          <w:tcPr>
            <w:tcW w:type="dxa" w:w="51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AA配列として扱えない。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先頭Cでない / 末尾W/Fでない</w:t>
            </w:r>
          </w:p>
        </w:tc>
        <w:tc>
          <w:tcPr>
            <w:tcW w:type="dxa" w:w="21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除外しない</w:t>
            </w:r>
          </w:p>
        </w:tc>
        <w:tc>
          <w:tcPr>
            <w:tcW w:type="dxa" w:w="51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マージ済み配列由来AIRRでは観測されるため、探索段階では残す。pGen=0やplot除外で扱いを確認する。</w:t>
            </w:r>
          </w:p>
        </w:tc>
      </w:tr>
    </w:tbl>
    <w:p/>
    <w:p>
      <w:pPr>
        <w:pStyle w:val="Heading1"/>
      </w:pPr>
      <w:r>
        <w:t>4. pGen計算手順</w:t>
      </w:r>
    </w:p>
    <w:p>
      <w:r>
        <w:t>pGenは横軸の値を決める情報であり、SHMとは独立に計算する。pGenを計算した段階ではまだpGen-SHM plotを作図するのではなく、まずrow-level表のpgen列とlog10_pgen列を完成させる。</w:t>
      </w:r>
    </w:p>
    <w:p>
      <w:r>
        <w:t>pGen=0は生成されやすい配列ではなく、OLGAモデル上で生成確率0またはモデル外として扱われた配列である。log10_pgenが作れないため図からは除外するが、row-level表に残すことで後から確認できる。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00"/>
        <w:gridCol w:w="3300"/>
        <w:gridCol w:w="5160"/>
      </w:tblGrid>
      <w:tr>
        <w:tc>
          <w:tcPr>
            <w:tcW w:type="dxa" w:w="90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</w:rPr>
              <w:t>順序</w:t>
            </w:r>
          </w:p>
        </w:tc>
        <w:tc>
          <w:tcPr>
            <w:tcW w:type="dxa" w:w="330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</w:rPr>
              <w:t>処理</w:t>
            </w:r>
          </w:p>
        </w:tc>
        <w:tc>
          <w:tcPr>
            <w:tcW w:type="dxa" w:w="516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</w:rPr>
              <w:t>再現上の注意</w:t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1</w:t>
            </w:r>
          </w:p>
        </w:tc>
        <w:tc>
          <w:tcPr>
            <w:tcW w:type="dxa" w:w="33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採用行のjunction_aaを大文字化する。</w:t>
            </w:r>
          </w:p>
        </w:tc>
        <w:tc>
          <w:tcPr>
            <w:tcW w:type="dxa" w:w="51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同じ文字列は同じpGenを共有する。</w:t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2</w:t>
            </w:r>
          </w:p>
        </w:tc>
        <w:tc>
          <w:tcPr>
            <w:tcW w:type="dxa" w:w="33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unique junction_aa一覧を作る。</w:t>
            </w:r>
          </w:p>
        </w:tc>
        <w:tc>
          <w:tcPr>
            <w:tcW w:type="dxa" w:w="51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高速化のため内部ではまとめるが、row-level出力では各sequence_id行を保持する。</w:t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3</w:t>
            </w:r>
          </w:p>
        </w:tc>
        <w:tc>
          <w:tcPr>
            <w:tcW w:type="dxa" w:w="33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OLGA human_B_heavyモデルを読み込む。</w:t>
            </w:r>
          </w:p>
        </w:tc>
        <w:tc>
          <w:tcPr>
            <w:tcW w:type="dxa" w:w="51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model_params.txt、V_gene_CDR3_anchors.csv、J_gene_CDR3_anchors.csv、model_marginals.txtを使用。</w:t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4</w:t>
            </w:r>
          </w:p>
        </w:tc>
        <w:tc>
          <w:tcPr>
            <w:tcW w:type="dxa" w:w="33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compute_aa_CDR3_pgen(junction_aa)を実行する。</w:t>
            </w:r>
          </w:p>
        </w:tc>
        <w:tc>
          <w:tcPr>
            <w:tcW w:type="dxa" w:w="51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例外が出た配列はpGen=0として扱う。</w:t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5</w:t>
            </w:r>
          </w:p>
        </w:tc>
        <w:tc>
          <w:tcPr>
            <w:tcW w:type="dxa" w:w="33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junction_aa -&gt; pGen辞書を作る。</w:t>
            </w:r>
          </w:p>
        </w:tc>
        <w:tc>
          <w:tcPr>
            <w:tcW w:type="dxa" w:w="51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同じjunction_aaには同じpGenを割り当てる。</w:t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6</w:t>
            </w:r>
          </w:p>
        </w:tc>
        <w:tc>
          <w:tcPr>
            <w:tcW w:type="dxa" w:w="33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各row-level行へpgenとlog10_pgenを付与する。</w:t>
            </w:r>
          </w:p>
        </w:tc>
        <w:tc>
          <w:tcPr>
            <w:tcW w:type="dxa" w:w="51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pGen&gt;0のみlog10_pgenを計算する。pGen=0ではlog10_pgenは空欄/NaN。</w:t>
            </w:r>
          </w:p>
        </w:tc>
      </w:tr>
    </w:tbl>
    <w:p/>
    <w:p>
      <w:pPr>
        <w:pStyle w:val="Heading1"/>
      </w:pPr>
      <w:r>
        <w:t>5. cacheと並列化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200"/>
        <w:gridCol w:w="1500"/>
        <w:gridCol w:w="5660"/>
      </w:tblGrid>
      <w:tr>
        <w:tc>
          <w:tcPr>
            <w:tcW w:type="dxa" w:w="220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</w:rPr>
              <w:t>設定</w:t>
            </w:r>
          </w:p>
        </w:tc>
        <w:tc>
          <w:tcPr>
            <w:tcW w:type="dxa" w:w="150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</w:rPr>
              <w:t>既定値</w:t>
            </w:r>
          </w:p>
        </w:tc>
        <w:tc>
          <w:tcPr>
            <w:tcW w:type="dxa" w:w="566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</w:rPr>
              <w:t>意味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Recalculate all pGen</w:t>
            </w:r>
          </w:p>
        </w:tc>
        <w:tc>
          <w:tcPr>
            <w:tcW w:type="dxa" w:w="15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ON</w:t>
            </w:r>
          </w:p>
        </w:tc>
        <w:tc>
          <w:tcPr>
            <w:tcW w:type="dxa" w:w="56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既存pgen_cache.tsvを読まず、毎回全unique junction_aaを再計算する。正常終了後に新しいcacheへ置き換える。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pgen_cache.tsv</w:t>
            </w:r>
          </w:p>
        </w:tc>
        <w:tc>
          <w:tcPr>
            <w:tcW w:type="dxa" w:w="15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出力フォルダ直下</w:t>
            </w:r>
          </w:p>
        </w:tc>
        <w:tc>
          <w:tcPr>
            <w:tcW w:type="dxa" w:w="56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junction_aaとpGenの対応表。既定では再計算後の保存先として使う。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pGen workers</w:t>
            </w:r>
          </w:p>
        </w:tc>
        <w:tc>
          <w:tcPr>
            <w:tcW w:type="dxa" w:w="15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6</w:t>
            </w:r>
          </w:p>
        </w:tc>
        <w:tc>
          <w:tcPr>
            <w:tcW w:type="dxa" w:w="56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OLGA計算の並列数。通常作業との両立と安定性を考え、6を推奨する。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use existing cache</w:t>
            </w:r>
          </w:p>
        </w:tc>
        <w:tc>
          <w:tcPr>
            <w:tcW w:type="dxa" w:w="15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OFF</w:t>
            </w:r>
          </w:p>
        </w:tc>
        <w:tc>
          <w:tcPr>
            <w:tcW w:type="dxa" w:w="56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CLIでは--use-pgen-cache指定時のみ既存cacheを利用する。GUI既定では利用しない。</w:t>
            </w:r>
          </w:p>
        </w:tc>
      </w:tr>
    </w:tbl>
    <w:p/>
    <w:p>
      <w:pPr>
        <w:pStyle w:val="Heading1"/>
      </w:pPr>
      <w:r>
        <w:t>6. pGen=0の意味と扱い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200"/>
        <w:gridCol w:w="7160"/>
      </w:tblGrid>
      <w:tr>
        <w:tc>
          <w:tcPr>
            <w:tcW w:type="dxa" w:w="220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</w:rPr>
              <w:t>項目</w:t>
            </w:r>
          </w:p>
        </w:tc>
        <w:tc>
          <w:tcPr>
            <w:tcW w:type="dxa" w:w="716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</w:rPr>
              <w:t>仕様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意味</w:t>
            </w:r>
          </w:p>
        </w:tc>
        <w:tc>
          <w:tcPr>
            <w:tcW w:type="dxa" w:w="71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OLGA human_B_heavyモデル上で生成確率0、またはモデル外・例外として扱われた配列。生成されやすい方向ではない。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log10</w:t>
            </w:r>
          </w:p>
        </w:tc>
        <w:tc>
          <w:tcPr>
            <w:tcW w:type="dxa" w:w="71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log10(0)は定義できないため、log10_pgenは空欄/NaN。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row-level表</w:t>
            </w:r>
          </w:p>
        </w:tc>
        <w:tc>
          <w:tcPr>
            <w:tcW w:type="dxa" w:w="71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pgen=0として残す。後から配列例や件数を確認できる。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pGen-SHM plot</w:t>
            </w:r>
          </w:p>
        </w:tc>
        <w:tc>
          <w:tcPr>
            <w:tcW w:type="dxa" w:w="71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scatter/KDE/ROIからは除外する。x軸に置けないため。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典型例</w:t>
            </w:r>
          </w:p>
        </w:tc>
        <w:tc>
          <w:tcPr>
            <w:tcW w:type="dxa" w:w="71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先頭がCでない、末尾がW/Fでない、非常に長いなど、OLGAモデルの想定から外れやすいjunction_aaで見られる。</w:t>
            </w:r>
          </w:p>
        </w:tc>
      </w:tr>
    </w:tbl>
    <w:p/>
    <w:p>
      <w:pPr>
        <w:pStyle w:val="Heading1"/>
      </w:pPr>
      <w:r>
        <w:t>7. pGen bins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500"/>
        <w:gridCol w:w="6860"/>
      </w:tblGrid>
      <w:tr>
        <w:tc>
          <w:tcPr>
            <w:tcW w:type="dxa" w:w="250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</w:rPr>
              <w:t>bin</w:t>
            </w:r>
          </w:p>
        </w:tc>
        <w:tc>
          <w:tcPr>
            <w:tcW w:type="dxa" w:w="686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</w:rPr>
              <w:t>扱い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1e-5~1e-10</w:t>
            </w:r>
          </w:p>
        </w:tc>
        <w:tc>
          <w:tcPr>
            <w:tcW w:type="dxa" w:w="68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比較的高pGen。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1e-10~1e-15</w:t>
            </w:r>
          </w:p>
        </w:tc>
        <w:tc>
          <w:tcPr>
            <w:tcW w:type="dxa" w:w="68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中程度から高pGen。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1e-15~1e-20</w:t>
            </w:r>
          </w:p>
        </w:tc>
        <w:tc>
          <w:tcPr>
            <w:tcW w:type="dxa" w:w="68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中程度。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1e-20~1e-25</w:t>
            </w:r>
          </w:p>
        </w:tc>
        <w:tc>
          <w:tcPr>
            <w:tcW w:type="dxa" w:w="68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低pGen。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1e-25~1e-30</w:t>
            </w:r>
          </w:p>
        </w:tc>
        <w:tc>
          <w:tcPr>
            <w:tcW w:type="dxa" w:w="68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より低pGen。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1e-30~1e-35</w:t>
            </w:r>
          </w:p>
        </w:tc>
        <w:tc>
          <w:tcPr>
            <w:tcW w:type="dxa" w:w="68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非常に低pGen。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1e-35~1e-40</w:t>
            </w:r>
          </w:p>
        </w:tc>
        <w:tc>
          <w:tcPr>
            <w:tcW w:type="dxa" w:w="68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極低pGen。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1e-40~</w:t>
            </w:r>
          </w:p>
        </w:tc>
        <w:tc>
          <w:tcPr>
            <w:tcW w:type="dxa" w:w="68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pGen=0または1e-40未満を含む最下位bin。</w:t>
            </w:r>
          </w:p>
        </w:tc>
      </w:tr>
    </w:tbl>
    <w:p/>
    <w:p>
      <w:pPr>
        <w:pStyle w:val="Heading1"/>
      </w:pPr>
      <w:r>
        <w:t>8. 出力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000"/>
        <w:gridCol w:w="6360"/>
      </w:tblGrid>
      <w:tr>
        <w:tc>
          <w:tcPr>
            <w:tcW w:type="dxa" w:w="300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</w:rPr>
              <w:t>ファイル/列</w:t>
            </w:r>
          </w:p>
        </w:tc>
        <w:tc>
          <w:tcPr>
            <w:tcW w:type="dxa" w:w="636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</w:rPr>
              <w:t>内容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pgen</w:t>
            </w:r>
          </w:p>
        </w:tc>
        <w:tc>
          <w:tcPr>
            <w:tcW w:type="dxa" w:w="63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OLGAで計算した生成確率。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log10_pgen</w:t>
            </w:r>
          </w:p>
        </w:tc>
        <w:tc>
          <w:tcPr>
            <w:tcW w:type="dxa" w:w="63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pGen&gt;0の場合の常用対数。pGen=0では空欄/NaN。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*_pgen_bins.tsv</w:t>
            </w:r>
          </w:p>
        </w:tc>
        <w:tc>
          <w:tcPr>
            <w:tcW w:type="dxa" w:w="63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binごとのcount_uniqueAA、fraction_uniqueAA、count_weightedReads、fraction_weightedReads。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*_pgen_bins_unique.png</w:t>
            </w:r>
          </w:p>
        </w:tc>
        <w:tc>
          <w:tcPr>
            <w:tcW w:type="dxa" w:w="63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unique junction_aa単位のpGen分布図。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*_pgen_bins_weighted.png</w:t>
            </w:r>
          </w:p>
        </w:tc>
        <w:tc>
          <w:tcPr>
            <w:tcW w:type="dxa" w:w="63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read数またはduplicate_count重みを反映したpGen分布図。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pgen_cache.tsv</w:t>
            </w:r>
          </w:p>
        </w:tc>
        <w:tc>
          <w:tcPr>
            <w:tcW w:type="dxa" w:w="63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junction_aaとpGenの対応表。既定では再計算後に更新される。</w:t>
            </w:r>
          </w:p>
        </w:tc>
      </w:tr>
    </w:tbl>
    <w:p/>
    <w:p>
      <w:pPr>
        <w:pStyle w:val="Heading1"/>
      </w:pPr>
      <w:r>
        <w:t>9. 議論したポイント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500"/>
        <w:gridCol w:w="6860"/>
      </w:tblGrid>
      <w:tr>
        <w:tc>
          <w:tcPr>
            <w:tcW w:type="dxa" w:w="250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</w:rPr>
              <w:t>論点</w:t>
            </w:r>
          </w:p>
        </w:tc>
        <w:tc>
          <w:tcPr>
            <w:tcW w:type="dxa" w:w="686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</w:rPr>
              <w:t>現行判断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V callやJ callはpGenに必要か</w:t>
            </w:r>
          </w:p>
        </w:tc>
        <w:tc>
          <w:tcPr>
            <w:tcW w:type="dxa" w:w="68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OLGAのcompute_aa_CDR3_pgenにはjunction_aaのみを渡す。V/J callはpGen計算には使わず、参考列として保持する。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同じjunction_aaの扱い</w:t>
            </w:r>
          </w:p>
        </w:tc>
        <w:tc>
          <w:tcPr>
            <w:tcW w:type="dxa" w:w="68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同じjunction_aaは同じpGenを持つ。計算はunique junction_aaでまとめ、row-level表には各sequence_idへ戻す。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cacheの不安</w:t>
            </w:r>
          </w:p>
        </w:tc>
        <w:tc>
          <w:tcPr>
            <w:tcW w:type="dxa" w:w="68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既定では既存cacheを使わず毎回再計算する。正常終了後にcacheを作り直す。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並列数</w:t>
            </w:r>
          </w:p>
        </w:tc>
        <w:tc>
          <w:tcPr>
            <w:tcW w:type="dxa" w:w="68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10では環境によって停止が見られたため、安定確認済みの6を既定とする。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pGen=0</w:t>
            </w:r>
          </w:p>
        </w:tc>
        <w:tc>
          <w:tcPr>
            <w:tcW w:type="dxa" w:w="68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生成されやすい方向ではなく、最も生成されにくい/モデル外側。表には残しplotから除外する。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Yu Gothic" w:hAnsi="Yu Gothic" w:eastAsia="Yu Gothic"/>
        <w:color w:val="666666"/>
        <w:sz w:val="18"/>
      </w:rPr>
      <w:t>pGen calculation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