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B2545"/>
          <w:sz w:val="40"/>
        </w:rPr>
        <w:t>TSVからSHMデータ作成仕様書</w:t>
      </w:r>
    </w:p>
    <w:p>
      <w:pPr>
        <w:spacing w:after="240"/>
      </w:pPr>
      <w:r>
        <w:rPr>
          <w:rFonts w:ascii="Calibri" w:hAnsi="Calibri"/>
          <w:color w:val="555555"/>
          <w:sz w:val="20"/>
        </w:rPr>
        <w:t>対象: IgBLAST AIRR outfmt 19 TSV / 更新日: 2026-06-08 / 目的: SHM計算と分布確認の引継ぎ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pPr>
              <w:spacing w:after="60"/>
            </w:pPr>
            <w:r>
              <w:rPr>
                <w:b/>
                <w:color w:val="1F4D78"/>
              </w:rPr>
              <w:t>引継ぎ上の要点</w:t>
            </w:r>
            <w:r>
              <w:t xml:space="preserve">  元データを潰さない row-level Excel/TSV を中心データとして保存し、目的に応じて複数の図表を出力する方針とする。</w:t>
            </w:r>
          </w:p>
        </w:tc>
      </w:tr>
    </w:tbl>
    <w:p/>
    <w:p>
      <w:pPr>
        <w:pStyle w:val="Heading1"/>
      </w:pPr>
      <w:r>
        <w:t>1. 目的と位置づけ</w:t>
      </w:r>
    </w:p>
    <w:p>
      <w:r>
        <w:t>本書は、AIRR TSVからV領域のSHM(%Mutation)を計算し、row-levelの中間データおよびSHM分布図を作成する仕様をまとめる。SHMはpGen-SHM plotのy軸に使うため、ここでの計算単位とフィルタを明確にしておく。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項目</w:t>
            </w:r>
          </w:p>
        </w:tc>
        <w:tc>
          <w:tcPr>
            <w:tcW w:type="dxa" w:w="74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仕様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入力</w:t>
            </w:r>
          </w:p>
        </w:tc>
        <w:tc>
          <w:tcPr>
            <w:tcW w:type="dxa" w:w="7460"/>
          </w:tcPr>
          <w:p>
            <w:pPr>
              <w:spacing w:after="40"/>
            </w:pPr>
            <w:r>
              <w:t>IgBLAST -outfmt 19 のAIRR TSV。FASTAは前段GUIでAIRR TSVへ変換済みであること。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主な列</w:t>
            </w:r>
          </w:p>
        </w:tc>
        <w:tc>
          <w:tcPr>
            <w:tcW w:type="dxa" w:w="7460"/>
          </w:tcPr>
          <w:p>
            <w:pPr>
              <w:spacing w:after="40"/>
            </w:pPr>
            <w:r>
              <w:t>sequence_id, productive, locus, junction, junction_aa, v_identity, v_call, j_call, v_sequence_alignment等。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主解析単位</w:t>
            </w:r>
          </w:p>
        </w:tc>
        <w:tc>
          <w:tcPr>
            <w:tcW w:type="dxa" w:w="7460"/>
          </w:tcPr>
          <w:p>
            <w:pPr>
              <w:spacing w:after="40"/>
            </w:pPr>
            <w:r>
              <w:t>フィルタ後のAIRR 1行、すなわち原則として1つのsequence_id。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SHM計算</w:t>
            </w:r>
          </w:p>
        </w:tc>
        <w:tc>
          <w:tcPr>
            <w:tcW w:type="dxa" w:w="7460"/>
          </w:tcPr>
          <w:p>
            <w:pPr>
              <w:spacing w:after="40"/>
            </w:pPr>
            <w:r>
              <w:t>v_identityが0-100スケールなら 100 - v_identity、0-1スケールなら (1 - v_identity) * 100。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出力先</w:t>
            </w:r>
          </w:p>
        </w:tc>
        <w:tc>
          <w:tcPr>
            <w:tcW w:type="dxa" w:w="7460"/>
          </w:tcPr>
          <w:p>
            <w:pPr>
              <w:spacing w:after="40"/>
            </w:pPr>
            <w:r>
              <w:t>row-level Excel/TSV、SHM histogram、weighted SHM histogram、QC summary。</w:t>
            </w:r>
          </w:p>
        </w:tc>
      </w:tr>
    </w:tbl>
    <w:p/>
    <w:p>
      <w:pPr>
        <w:pStyle w:val="Heading1"/>
      </w:pPr>
      <w:r>
        <w:t>2. 採用フィルタ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3600"/>
        <w:gridCol w:w="4160"/>
      </w:tblGrid>
      <w:tr>
        <w:trPr>
          <w:tblHeader w:val="true"/>
        </w:trPr>
        <w:tc>
          <w:tcPr>
            <w:tcW w:type="dxa" w:w="16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フィルタ</w:t>
            </w:r>
          </w:p>
        </w:tc>
        <w:tc>
          <w:tcPr>
            <w:tcW w:type="dxa" w:w="36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採用条件</w:t>
            </w:r>
          </w:p>
        </w:tc>
        <w:tc>
          <w:tcPr>
            <w:tcW w:type="dxa" w:w="41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意図</w:t>
            </w:r>
          </w:p>
        </w:tc>
      </w:tr>
      <w:tr>
        <w:tc>
          <w:tcPr>
            <w:tcW w:type="dxa" w:w="1600"/>
          </w:tcPr>
          <w:p>
            <w:pPr>
              <w:spacing w:after="40"/>
            </w:pPr>
            <w:r>
              <w:t>locus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t>基本はIGH。空欄locusは保持しQCに件数を記録。IGK/IGLは除外。</w:t>
            </w:r>
          </w:p>
        </w:tc>
        <w:tc>
          <w:tcPr>
            <w:tcW w:type="dxa" w:w="4160"/>
          </w:tcPr>
          <w:p>
            <w:pPr>
              <w:spacing w:after="40"/>
            </w:pPr>
            <w:r>
              <w:t>OLGA human_B_heavyを使うため、IGHを前提にする。</w:t>
            </w:r>
          </w:p>
        </w:tc>
      </w:tr>
      <w:tr>
        <w:tc>
          <w:tcPr>
            <w:tcW w:type="dxa" w:w="1600"/>
          </w:tcPr>
          <w:p>
            <w:pPr>
              <w:spacing w:after="40"/>
            </w:pPr>
            <w:r>
              <w:t>productive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t>productive == Tを採用。</w:t>
            </w:r>
          </w:p>
        </w:tc>
        <w:tc>
          <w:tcPr>
            <w:tcW w:type="dxa" w:w="4160"/>
          </w:tcPr>
          <w:p>
            <w:pPr>
              <w:spacing w:after="40"/>
            </w:pPr>
            <w:r>
              <w:t>機能的なVDJ再構成を主対象にする。</w:t>
            </w:r>
          </w:p>
        </w:tc>
      </w:tr>
      <w:tr>
        <w:tc>
          <w:tcPr>
            <w:tcW w:type="dxa" w:w="1600"/>
          </w:tcPr>
          <w:p>
            <w:pPr>
              <w:spacing w:after="40"/>
            </w:pPr>
            <w:r>
              <w:t>vj_in_frame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t>列がある場合はTを採用。</w:t>
            </w:r>
          </w:p>
        </w:tc>
        <w:tc>
          <w:tcPr>
            <w:tcW w:type="dxa" w:w="4160"/>
          </w:tcPr>
          <w:p>
            <w:pPr>
              <w:spacing w:after="40"/>
            </w:pPr>
            <w:r>
              <w:t>フレーム外配列を除く。</w:t>
            </w:r>
          </w:p>
        </w:tc>
      </w:tr>
      <w:tr>
        <w:tc>
          <w:tcPr>
            <w:tcW w:type="dxa" w:w="1600"/>
          </w:tcPr>
          <w:p>
            <w:pPr>
              <w:spacing w:after="40"/>
            </w:pPr>
            <w:r>
              <w:t>stop_codon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t>列がある場合はFを採用。</w:t>
            </w:r>
          </w:p>
        </w:tc>
        <w:tc>
          <w:tcPr>
            <w:tcW w:type="dxa" w:w="4160"/>
          </w:tcPr>
          <w:p>
            <w:pPr>
              <w:spacing w:after="40"/>
            </w:pPr>
            <w:r>
              <w:t>停止コドンを含む配列を除く。</w:t>
            </w:r>
          </w:p>
        </w:tc>
      </w:tr>
      <w:tr>
        <w:tc>
          <w:tcPr>
            <w:tcW w:type="dxa" w:w="1600"/>
          </w:tcPr>
          <w:p>
            <w:pPr>
              <w:spacing w:after="40"/>
            </w:pPr>
            <w:r>
              <w:t>junction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t>空でなく、A/C/G/Tのみ。Nや記号を含むものは除外。</w:t>
            </w:r>
          </w:p>
        </w:tc>
        <w:tc>
          <w:tcPr>
            <w:tcW w:type="dxa" w:w="4160"/>
          </w:tcPr>
          <w:p>
            <w:pPr>
              <w:spacing w:after="40"/>
            </w:pPr>
            <w:r>
              <w:t>junction単位の集計とpGen連携を安定させる。</w:t>
            </w:r>
          </w:p>
        </w:tc>
      </w:tr>
      <w:tr>
        <w:tc>
          <w:tcPr>
            <w:tcW w:type="dxa" w:w="1600"/>
          </w:tcPr>
          <w:p>
            <w:pPr>
              <w:spacing w:after="40"/>
            </w:pPr>
            <w:r>
              <w:t>junction_aa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t>空でなく、*やXを含まない英字。</w:t>
            </w:r>
          </w:p>
        </w:tc>
        <w:tc>
          <w:tcPr>
            <w:tcW w:type="dxa" w:w="4160"/>
          </w:tcPr>
          <w:p>
            <w:pPr>
              <w:spacing w:after="40"/>
            </w:pPr>
            <w:r>
              <w:t>pGen計算に不適なCDR3 AAを除く。</w:t>
            </w:r>
          </w:p>
        </w:tc>
      </w:tr>
      <w:tr>
        <w:tc>
          <w:tcPr>
            <w:tcW w:type="dxa" w:w="1600"/>
          </w:tcPr>
          <w:p>
            <w:pPr>
              <w:spacing w:after="40"/>
            </w:pPr>
            <w:r>
              <w:t>Min V alignment length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t>既定0。必要時のみ下限を設定。</w:t>
            </w:r>
          </w:p>
        </w:tc>
        <w:tc>
          <w:tcPr>
            <w:tcW w:type="dxa" w:w="4160"/>
          </w:tcPr>
          <w:p>
            <w:pPr>
              <w:spacing w:after="40"/>
            </w:pPr>
            <w:r>
              <w:t>短いV alignment由来の不安定なSHMを除くための任意設定。</w:t>
            </w:r>
          </w:p>
        </w:tc>
      </w:tr>
    </w:tbl>
    <w:p/>
    <w:p>
      <w:pPr>
        <w:pStyle w:val="Heading1"/>
      </w:pPr>
      <w:r>
        <w:t>3. SHM計算と保持する情報</w:t>
      </w:r>
    </w:p>
    <w:p>
      <w:r>
        <w:t>現在の主方針は、同じjunction_aaであっても各sequence_idのSHMを潰さず残すことである。同じCDR3 AAでもV領域のmutation状態は別情報であり、medianに集約すると探索段階の情報を失う可能性がある。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出力列</w:t>
            </w:r>
          </w:p>
        </w:tc>
        <w:tc>
          <w:tcPr>
            <w:tcW w:type="dxa" w:w="71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意味</w:t>
            </w:r>
          </w:p>
        </w:tc>
      </w:tr>
      <w:tr>
        <w:tc>
          <w:tcPr>
            <w:tcW w:type="dxa" w:w="2200"/>
          </w:tcPr>
          <w:p>
            <w:pPr>
              <w:spacing w:after="40"/>
            </w:pPr>
            <w:r>
              <w:t>sequence_id</w:t>
            </w:r>
          </w:p>
        </w:tc>
        <w:tc>
          <w:tcPr>
            <w:tcW w:type="dxa" w:w="7160"/>
          </w:tcPr>
          <w:p>
            <w:pPr>
              <w:spacing w:after="40"/>
            </w:pPr>
            <w:r>
              <w:t>AIRR行の識別子。row-level解析の基本単位。</w:t>
            </w:r>
          </w:p>
        </w:tc>
      </w:tr>
      <w:tr>
        <w:tc>
          <w:tcPr>
            <w:tcW w:type="dxa" w:w="2200"/>
          </w:tcPr>
          <w:p>
            <w:pPr>
              <w:spacing w:after="40"/>
            </w:pPr>
            <w:r>
              <w:t>shm</w:t>
            </w:r>
          </w:p>
        </w:tc>
        <w:tc>
          <w:tcPr>
            <w:tcW w:type="dxa" w:w="7160"/>
          </w:tcPr>
          <w:p>
            <w:pPr>
              <w:spacing w:after="40"/>
            </w:pPr>
            <w:r>
              <w:t>v_identityから計算した%Mutation。</w:t>
            </w:r>
          </w:p>
        </w:tc>
      </w:tr>
      <w:tr>
        <w:tc>
          <w:tcPr>
            <w:tcW w:type="dxa" w:w="2200"/>
          </w:tcPr>
          <w:p>
            <w:pPr>
              <w:spacing w:after="40"/>
            </w:pPr>
            <w:r>
              <w:t>v_identity</w:t>
            </w:r>
          </w:p>
        </w:tc>
        <w:tc>
          <w:tcPr>
            <w:tcW w:type="dxa" w:w="7160"/>
          </w:tcPr>
          <w:p>
            <w:pPr>
              <w:spacing w:after="40"/>
            </w:pPr>
            <w:r>
              <w:t>SHM計算の元値。小数3桁程度まで出ることがあり、完全一致は限定的。</w:t>
            </w:r>
          </w:p>
        </w:tc>
      </w:tr>
      <w:tr>
        <w:tc>
          <w:tcPr>
            <w:tcW w:type="dxa" w:w="2200"/>
          </w:tcPr>
          <w:p>
            <w:pPr>
              <w:spacing w:after="40"/>
            </w:pPr>
            <w:r>
              <w:t>junction / junction_aa</w:t>
            </w:r>
          </w:p>
        </w:tc>
        <w:tc>
          <w:tcPr>
            <w:tcW w:type="dxa" w:w="7160"/>
          </w:tcPr>
          <w:p>
            <w:pPr>
              <w:spacing w:after="40"/>
            </w:pPr>
            <w:r>
              <w:t>CDR3 nt / AA。pGenとBeta1互換集計の連携に使う。</w:t>
            </w:r>
          </w:p>
        </w:tc>
      </w:tr>
      <w:tr>
        <w:tc>
          <w:tcPr>
            <w:tcW w:type="dxa" w:w="2200"/>
          </w:tcPr>
          <w:p>
            <w:pPr>
              <w:spacing w:after="40"/>
            </w:pPr>
            <w:r>
              <w:t>v_call / j_call</w:t>
            </w:r>
          </w:p>
        </w:tc>
        <w:tc>
          <w:tcPr>
            <w:tcW w:type="dxa" w:w="7160"/>
          </w:tcPr>
          <w:p>
            <w:pPr>
              <w:spacing w:after="40"/>
            </w:pPr>
            <w:r>
              <w:t>参考情報。pGen計算には直接使わないが解釈には重要。</w:t>
            </w:r>
          </w:p>
        </w:tc>
      </w:tr>
      <w:tr>
        <w:tc>
          <w:tcPr>
            <w:tcW w:type="dxa" w:w="2200"/>
          </w:tcPr>
          <w:p>
            <w:pPr>
              <w:spacing w:after="40"/>
            </w:pPr>
            <w:r>
              <w:t>same_xy_count / plot_weight</w:t>
            </w:r>
          </w:p>
        </w:tc>
        <w:tc>
          <w:tcPr>
            <w:tcW w:type="dxa" w:w="7160"/>
          </w:tcPr>
          <w:p>
            <w:pPr>
              <w:spacing w:after="40"/>
            </w:pPr>
            <w:r>
              <w:t>同一log10_pgen・SHM座標に重なるrow数と描画重み。</w:t>
            </w:r>
          </w:p>
        </w:tc>
      </w:tr>
    </w:tbl>
    <w:p/>
    <w:p>
      <w:pPr>
        <w:pStyle w:val="Heading1"/>
      </w:pPr>
      <w:r>
        <w:t>4. Beta1方式との関係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2700"/>
        <w:gridCol w:w="2600"/>
        <w:gridCol w:w="2460"/>
      </w:tblGrid>
      <w:tr>
        <w:trPr>
          <w:tblHeader w:val="true"/>
        </w:trPr>
        <w:tc>
          <w:tcPr>
            <w:tcW w:type="dxa" w:w="16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方式</w:t>
            </w:r>
          </w:p>
        </w:tc>
        <w:tc>
          <w:tcPr>
            <w:tcW w:type="dxa" w:w="27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SHMの扱い</w:t>
            </w:r>
          </w:p>
        </w:tc>
        <w:tc>
          <w:tcPr>
            <w:tcW w:type="dxa" w:w="26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利点</w:t>
            </w:r>
          </w:p>
        </w:tc>
        <w:tc>
          <w:tcPr>
            <w:tcW w:type="dxa" w:w="24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注意点</w:t>
            </w:r>
          </w:p>
        </w:tc>
      </w:tr>
      <w:tr>
        <w:tc>
          <w:tcPr>
            <w:tcW w:type="dxa" w:w="1600"/>
          </w:tcPr>
          <w:p>
            <w:pPr>
              <w:spacing w:after="40"/>
            </w:pPr>
            <w:r>
              <w:t>現在方式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t>各AIRR行のSHMをそのまま保持。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t>情報を潰さず、scatterで存在確認しやすい。</w:t>
            </w:r>
          </w:p>
        </w:tc>
        <w:tc>
          <w:tcPr>
            <w:tcW w:type="dxa" w:w="2460"/>
          </w:tcPr>
          <w:p>
            <w:pPr>
              <w:spacing w:after="40"/>
            </w:pPr>
            <w:r>
              <w:t>read abundanceやPCR増幅の影響を受ける。</w:t>
            </w:r>
          </w:p>
        </w:tc>
      </w:tr>
      <w:tr>
        <w:tc>
          <w:tcPr>
            <w:tcW w:type="dxa" w:w="1600"/>
          </w:tcPr>
          <w:p>
            <w:pPr>
              <w:spacing w:after="40"/>
            </w:pPr>
            <w:r>
              <w:t>Beta1互換</w:t>
            </w:r>
          </w:p>
        </w:tc>
        <w:tc>
          <w:tcPr>
            <w:tcW w:type="dxa" w:w="2700"/>
          </w:tcPr>
          <w:p>
            <w:pPr>
              <w:spacing w:after="40"/>
            </w:pPr>
            <w:r>
              <w:t>unique junction(nt)ごとにSHM medianを1点にする。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t>旧解析との比較、多様性寄りの視点に適する。</w:t>
            </w:r>
          </w:p>
        </w:tc>
        <w:tc>
          <w:tcPr>
            <w:tcW w:type="dxa" w:w="2460"/>
          </w:tcPr>
          <w:p>
            <w:pPr>
              <w:spacing w:after="40"/>
            </w:pPr>
            <w:r>
              <w:t>同一junction内のSHMばらつきを失う。</w:t>
            </w:r>
          </w:p>
        </w:tc>
      </w:tr>
    </w:tbl>
    <w:p/>
    <w:p>
      <w:pPr>
        <w:pStyle w:val="Heading1"/>
      </w:pPr>
      <w:r>
        <w:t>5. SHMヒストグラム</w:t>
      </w:r>
    </w:p>
    <w:p>
      <w:pPr>
        <w:pStyle w:val="ListBullet"/>
        <w:spacing w:after="80" w:line="300" w:lineRule="auto"/>
        <w:ind w:left="540" w:hanging="271"/>
      </w:pPr>
      <w:r>
        <w:t>非重み付きSHM histogramは、採用rowを1行1カウントとしてSHM binに入れる。</w:t>
      </w:r>
    </w:p>
    <w:p>
      <w:pPr>
        <w:pStyle w:val="ListBullet"/>
        <w:spacing w:after="80" w:line="300" w:lineRule="auto"/>
        <w:ind w:left="540" w:hanging="271"/>
      </w:pPr>
      <w:r>
        <w:t>weighted SHM histogramは、plot_weightを使う。通常はrow数と同じだが、duplicate_countを使う設定ではその重みに従う。</w:t>
      </w:r>
    </w:p>
    <w:p>
      <w:pPr>
        <w:pStyle w:val="ListBullet"/>
        <w:spacing w:after="80" w:line="300" w:lineRule="auto"/>
        <w:ind w:left="540" w:hanging="271"/>
      </w:pPr>
      <w:r>
        <w:t>binは0-2%, 2-4%, ... , 18-20%, 20%以上を使う。</w:t>
      </w:r>
    </w:p>
    <w:p>
      <w:pPr>
        <w:pStyle w:val="ListBullet"/>
        <w:spacing w:after="80" w:line="300" w:lineRule="auto"/>
        <w:ind w:left="540" w:hanging="271"/>
      </w:pPr>
      <w:r>
        <w:t>V alignment lengthが短い群でSHMが低く見える可能性があるため、QC summaryと必要に応じたMin V alignment length設定を確認する。</w:t>
      </w:r>
    </w:p>
    <w:p>
      <w:pPr>
        <w:pStyle w:val="Heading1"/>
      </w:pPr>
      <w:r>
        <w:t>6. 議論点と今後の確認事項</w:t>
      </w:r>
    </w:p>
    <w:p>
      <w:pPr>
        <w:pStyle w:val="ListBullet"/>
        <w:spacing w:after="80" w:line="300" w:lineRule="auto"/>
        <w:ind w:left="540" w:hanging="271"/>
      </w:pPr>
      <w:r>
        <w:t>SHMはV領域由来であり、CDR3のpGenとは別情報である。低SHM・高pGen領域の生物学的解釈では、V alignment品質も確認する。</w:t>
      </w:r>
    </w:p>
    <w:p>
      <w:pPr>
        <w:pStyle w:val="ListBullet"/>
        <w:spacing w:after="80" w:line="300" w:lineRule="auto"/>
        <w:ind w:left="540" w:hanging="271"/>
      </w:pPr>
      <w:r>
        <w:t>各点方式は探索に向くが、クローン増幅やread数の影響を受ける。多様性を見る場合はBeta1互換のunique junction集計を併用する。</w:t>
      </w:r>
    </w:p>
    <w:p>
      <w:pPr>
        <w:pStyle w:val="ListBullet"/>
        <w:spacing w:after="80" w:line="300" w:lineRule="auto"/>
        <w:ind w:left="540" w:hanging="271"/>
      </w:pPr>
      <w:r>
        <w:t>Min V alignment lengthを既定で入れるかは未確定。現時点では除外せず、必要に応じて再解析で評価する。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6"/>
      </w:rPr>
      <w:t>SHM specification / row-level and beta1-compatible handoff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TSVからSHMデータ作成仕様書_20260607.docx</dc:title>
  <dc:subject>RG AIRR TSV to pGen-SHM plot handoff specification</dc:subject>
  <dc:creator>Codex</dc:creator>
  <cp:keywords>AIRR, IgBLAST, pGen, SHM, OLGA, beta1, row-level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