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0"/>
        </w:rPr>
        <w:t>TSVからpGenデータ作成仕様書</w:t>
      </w:r>
    </w:p>
    <w:p>
      <w:pPr>
        <w:spacing w:after="240"/>
      </w:pPr>
      <w:r>
        <w:rPr>
          <w:rFonts w:ascii="Calibri" w:hAnsi="Calibri"/>
          <w:color w:val="555555"/>
          <w:sz w:val="20"/>
        </w:rPr>
        <w:t>対象: IgBLAST AIRR outfmt 19 TSV / 更新日: 2026-06-08 / 目的: OLGA pGen計算の引継ぎ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1F4D78"/>
              </w:rPr>
              <w:t>引継ぎ上の要点</w:t>
            </w:r>
            <w:r>
              <w:t xml:space="preserve">  元データを潰さない row-level Excel/TSV を中心データとして保存し、目的に応じて複数の図表を出力する方針とする。</w:t>
            </w:r>
          </w:p>
        </w:tc>
      </w:tr>
    </w:tbl>
    <w:p/>
    <w:p>
      <w:pPr>
        <w:pStyle w:val="Heading1"/>
      </w:pPr>
      <w:r>
        <w:t>1. 目的と位置づけ</w:t>
      </w:r>
    </w:p>
    <w:p>
      <w:r>
        <w:t>本書は、AIRR TSVのjunction_aaからOLGAを用いてpGenを計算し、pGen分布とpGen-SHM解析へ渡す仕様をまとめる。pGenはCDR3 AA配列の生成確率であり、V領域SHMとは独立に計算される。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項目</w:t>
            </w:r>
          </w:p>
        </w:tc>
        <w:tc>
          <w:tcPr>
            <w:tcW w:type="dxa" w:w="74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仕様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pGen入力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junction_aaのみ。V call, J call, v_identityはpGen計算には直接使わない。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OLGAモデル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human_B_heavy。したがって基本はIGH専用。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内部最適化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同一junction_aaは1回だけpGenを計算し、結果をrow-levelへ戻す。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pGen=0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中間Excel/TSVには残すが、log10が取れないためscatter/KDEから除外。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cache既定</w:t>
            </w:r>
          </w:p>
        </w:tc>
        <w:tc>
          <w:tcPr>
            <w:tcW w:type="dxa" w:w="7460"/>
          </w:tcPr>
          <w:p>
            <w:pPr>
              <w:spacing w:after="40"/>
            </w:pPr>
            <w:r>
              <w:t>既定では既存cacheを信頼せず全pGen再計算し、成功後に新しいcacheを書き出す。</w:t>
            </w:r>
          </w:p>
        </w:tc>
      </w:tr>
    </w:tbl>
    <w:p/>
    <w:p>
      <w:pPr>
        <w:pStyle w:val="Heading1"/>
      </w:pPr>
      <w:r>
        <w:t>2. 入力フィルタとIGH前提</w:t>
      </w:r>
    </w:p>
    <w:p>
      <w:r>
        <w:t>pGen計算そのものはjunction_aaだけで可能だが、OLGA human_B_heavyを使うため、解析対象としてはIGHを想定する。IGK/IGLが混在するTSVでは、locus列がある場合にIGH以外を除外する。空欄locusは保持し、QC summaryに件数を記録する。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3100"/>
        <w:gridCol w:w="43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確認点</w:t>
            </w:r>
          </w:p>
        </w:tc>
        <w:tc>
          <w:tcPr>
            <w:tcW w:type="dxa" w:w="31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仕様</w:t>
            </w:r>
          </w:p>
        </w:tc>
        <w:tc>
          <w:tcPr>
            <w:tcW w:type="dxa" w:w="43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理由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junction_aa正常性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t>空でなく、*やXを含まない英字。</w:t>
            </w:r>
          </w:p>
        </w:tc>
        <w:tc>
          <w:tcPr>
            <w:tcW w:type="dxa" w:w="4360"/>
          </w:tcPr>
          <w:p>
            <w:pPr>
              <w:spacing w:after="40"/>
            </w:pPr>
            <w:r>
              <w:t>OLGAのAA CDR3入力として不適な配列を除外。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 nt正常性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t>A/C/G/Tのみ。</w:t>
            </w:r>
          </w:p>
        </w:tc>
        <w:tc>
          <w:tcPr>
            <w:tcW w:type="dxa" w:w="4360"/>
          </w:tcPr>
          <w:p>
            <w:pPr>
              <w:spacing w:after="40"/>
            </w:pPr>
            <w:r>
              <w:t>Beta1互換点表とSHM集計の整合性を保つ。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productive / in-frame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t>productive T、vj_in_frame T、stop_codon Fを採用。</w:t>
            </w:r>
          </w:p>
        </w:tc>
        <w:tc>
          <w:tcPr>
            <w:tcW w:type="dxa" w:w="4360"/>
          </w:tcPr>
          <w:p>
            <w:pPr>
              <w:spacing w:after="40"/>
            </w:pPr>
            <w:r>
              <w:t>非機能的・異常配列の混入を減らす。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locus</w:t>
            </w:r>
          </w:p>
        </w:tc>
        <w:tc>
          <w:tcPr>
            <w:tcW w:type="dxa" w:w="3100"/>
          </w:tcPr>
          <w:p>
            <w:pPr>
              <w:spacing w:after="40"/>
            </w:pPr>
            <w:r>
              <w:t>IGHを保持、IGK/IGLは除外。</w:t>
            </w:r>
          </w:p>
        </w:tc>
        <w:tc>
          <w:tcPr>
            <w:tcW w:type="dxa" w:w="4360"/>
          </w:tcPr>
          <w:p>
            <w:pPr>
              <w:spacing w:after="40"/>
            </w:pPr>
            <w:r>
              <w:t>human_B_heavyモデルとの整合性。</w:t>
            </w:r>
          </w:p>
        </w:tc>
      </w:tr>
    </w:tbl>
    <w:p/>
    <w:p>
      <w:pPr>
        <w:pStyle w:val="Heading1"/>
      </w:pPr>
      <w:r>
        <w:t>3. pGen計算手順</w:t>
      </w:r>
    </w:p>
    <w:p>
      <w:pPr>
        <w:pStyle w:val="ListNumber"/>
        <w:spacing w:after="80" w:line="300" w:lineRule="auto"/>
        <w:ind w:left="540" w:hanging="271"/>
      </w:pPr>
      <w:r>
        <w:t>採用AIRR行からjunction_aaを抽出する。</w:t>
      </w:r>
    </w:p>
    <w:p>
      <w:pPr>
        <w:pStyle w:val="ListNumber"/>
        <w:spacing w:after="80" w:line="300" w:lineRule="auto"/>
        <w:ind w:left="540" w:hanging="271"/>
      </w:pPr>
      <w:r>
        <w:t>unique junction_aaのリストを作成する。</w:t>
      </w:r>
    </w:p>
    <w:p>
      <w:pPr>
        <w:pStyle w:val="ListNumber"/>
        <w:spacing w:after="80" w:line="300" w:lineRule="auto"/>
        <w:ind w:left="540" w:hanging="271"/>
      </w:pPr>
      <w:r>
        <w:t>OLGA human_B_heavyのcompute_aa_CDR3_pgen相当処理で各AA CDR3のpGenを計算する。</w:t>
      </w:r>
    </w:p>
    <w:p>
      <w:pPr>
        <w:pStyle w:val="ListNumber"/>
        <w:spacing w:after="80" w:line="300" w:lineRule="auto"/>
        <w:ind w:left="540" w:hanging="271"/>
      </w:pPr>
      <w:r>
        <w:t>計算済みpGenをrow-level各行へ戻し、pgenとlog10_pgenを付与する。</w:t>
      </w:r>
    </w:p>
    <w:p>
      <w:pPr>
        <w:pStyle w:val="ListNumber"/>
        <w:spacing w:after="80" w:line="300" w:lineRule="auto"/>
        <w:ind w:left="540" w:hanging="271"/>
      </w:pPr>
      <w:r>
        <w:t>pGen bins、pGen cache、pGen-SHM用中間表へ出力する。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1F4D78"/>
              </w:rPr>
              <w:t>V callについて</w:t>
            </w:r>
            <w:r>
              <w:t xml:space="preserve">  pGenはjunction_aaから計算するため、V callやJ callは計算入力ではない。ただし、生物学的な解釈や疑わしい群の確認では参考列として保持する。</w:t>
            </w:r>
          </w:p>
        </w:tc>
      </w:tr>
    </w:tbl>
    <w:p/>
    <w:p>
      <w:pPr>
        <w:pStyle w:val="Heading1"/>
      </w:pPr>
      <w:r>
        <w:t>4. cacheと並列化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項目</w:t>
            </w:r>
          </w:p>
        </w:tc>
        <w:tc>
          <w:tcPr>
            <w:tcW w:type="dxa" w:w="43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現在の仕様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議論点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t>cache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既定はRecalculate all pGen ON。既存cacheを読まず、成功後に新規cacheを書き出す。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古い誤計算を引き継がない安全側の設計。速度は低下する。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t>use existing cache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CLIでは--use-pgen-cache、GUIでは設定変更により既存cache利用が可能。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再現性と速度を優先する場面でのみ使用。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t>pGen workers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既定6。10では環境によって終了時に不安定だったため6を推奨。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専用解析PCでは増やせる可能性はあるが、通常作業と併用するなら6以下が安全。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t>ProcessPool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並列ワーカーでOLGAモデルを初期化し、AA CDR3ごとに計算。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初期化コストはあるがunique AA数が多いと有効。</w:t>
            </w:r>
          </w:p>
        </w:tc>
      </w:tr>
    </w:tbl>
    <w:p/>
    <w:p>
      <w:pPr>
        <w:pStyle w:val="Heading1"/>
      </w:pPr>
      <w:r>
        <w:t>5. pGen binsの解釈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00"/>
        <w:gridCol w:w="3600"/>
        <w:gridCol w:w="3160"/>
      </w:tblGrid>
      <w:tr>
        <w:trPr>
          <w:tblHeader w:val="true"/>
        </w:trPr>
        <w:tc>
          <w:tcPr>
            <w:tcW w:type="dxa" w:w="26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出力</w:t>
            </w:r>
          </w:p>
        </w:tc>
        <w:tc>
          <w:tcPr>
            <w:tcW w:type="dxa" w:w="36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意味</w:t>
            </w:r>
          </w:p>
        </w:tc>
        <w:tc>
          <w:tcPr>
            <w:tcW w:type="dxa" w:w="31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使い方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t>pgen_bins_unique.png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unique junction_aaを1つずつ数える。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CDR3 AA多様性寄りの分布を見る。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t>pgen_bins_weighted.png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同じjunction_aaの出現row数、またはduplicate_countで重み付け。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観測read量・頻度寄りの分布を見る。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t>pgen_bins.tsv</w:t>
            </w:r>
          </w:p>
        </w:tc>
        <w:tc>
          <w:tcPr>
            <w:tcW w:type="dxa" w:w="3600"/>
          </w:tcPr>
          <w:p>
            <w:pPr>
              <w:spacing w:after="40"/>
            </w:pPr>
            <w:r>
              <w:t>各binのunique countとweighted countを保存。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図ではなく数値で比較するときに使う。</w:t>
            </w:r>
          </w:p>
        </w:tc>
      </w:tr>
    </w:tbl>
    <w:p/>
    <w:p>
      <w:pPr>
        <w:pStyle w:val="Heading1"/>
      </w:pPr>
      <w:r>
        <w:t>6. 議論点と今後の確認事項</w:t>
      </w:r>
    </w:p>
    <w:p>
      <w:pPr>
        <w:pStyle w:val="ListBullet"/>
        <w:spacing w:after="80" w:line="300" w:lineRule="auto"/>
        <w:ind w:left="540" w:hanging="271"/>
      </w:pPr>
      <w:r>
        <w:t>pGenはjunction_aaのみから計算するため、SHMやV gene選択の情報は含まない。pGen-SHM plotで初めて両者を並べて観察する。</w:t>
      </w:r>
    </w:p>
    <w:p>
      <w:pPr>
        <w:pStyle w:val="ListBullet"/>
        <w:spacing w:after="80" w:line="300" w:lineRule="auto"/>
        <w:ind w:left="540" w:hanging="271"/>
      </w:pPr>
      <w:r>
        <w:t>pGen=0は必ず中間表に残す。log10 plotでは除外するが、除外件数はrun_logに記録する。</w:t>
      </w:r>
    </w:p>
    <w:p>
      <w:pPr>
        <w:pStyle w:val="ListBullet"/>
        <w:spacing w:after="80" w:line="300" w:lineRule="auto"/>
        <w:ind w:left="540" w:hanging="271"/>
      </w:pPr>
      <w:r>
        <w:t>cacheは安全性を優先して既定では再計算。速度が問題になる場合のみ、入力・OLGA version・cacheの対応を確認して再利用する。</w:t>
      </w:r>
    </w:p>
    <w:p>
      <w:pPr>
        <w:pStyle w:val="ListBullet"/>
        <w:spacing w:after="80" w:line="300" w:lineRule="auto"/>
        <w:ind w:left="540" w:hanging="271"/>
      </w:pPr>
      <w:r>
        <w:t>IGH以外の混在はpGenの意味を損なうため、QC summaryのdrop_non_IGH_locusを確認する。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>pGen specification / OLGA human_B_heavy handoff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TSVからpGenデータ作成仕様書_20260607.docx</dc:title>
  <dc:subject>RG AIRR TSV to pGen-SHM plot handoff specification</dc:subject>
  <dc:creator>Codex</dc:creator>
  <cp:keywords>AIRR, IgBLAST, pGen, SHM, OLGA, beta1, row-level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