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0"/>
        </w:rPr>
        <w:t>TSVからpGen-SHMデータ作成仕様書</w:t>
      </w:r>
    </w:p>
    <w:p>
      <w:pPr>
        <w:spacing w:after="240"/>
      </w:pPr>
      <w:r>
        <w:rPr>
          <w:rFonts w:ascii="Calibri" w:hAnsi="Calibri"/>
          <w:color w:val="555555"/>
          <w:sz w:val="20"/>
        </w:rPr>
        <w:t>対象: IgBLAST AIRR outfmt 19 TSV / 更新日: 2026-06-08 / 目的: pGen-SHM plotと複数視点出力の引継ぎ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pPr>
              <w:spacing w:after="60"/>
            </w:pPr>
            <w:r>
              <w:rPr>
                <w:b/>
                <w:color w:val="1F4D78"/>
              </w:rPr>
              <w:t>引継ぎ上の要点</w:t>
            </w:r>
            <w:r>
              <w:t xml:space="preserve">  元データを潰さない row-level Excel/TSV を中心データとして保存し、目的に応じて複数の図表を出力する方針とする。</w:t>
            </w:r>
          </w:p>
        </w:tc>
      </w:tr>
    </w:tbl>
    <w:p/>
    <w:p>
      <w:pPr>
        <w:pStyle w:val="Heading1"/>
      </w:pPr>
      <w:r>
        <w:t>1. 基本方針</w:t>
      </w:r>
    </w:p>
    <w:p>
      <w:r>
        <w:t>pGen-SHM plotは探索的な新しい解析であり、現時点で唯一の正解図を定めない。元データを潰さないrow-level Excel/TSVを中心データとして置き、そこからscatter、linear KDE、log-density KDE、weighted KDE、Beta1互換KDE、ROI summaryを出す。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2200"/>
        <w:gridCol w:w="3000"/>
        <w:gridCol w:w="2260"/>
      </w:tblGrid>
      <w:tr>
        <w:trPr>
          <w:tblHeader w:val="true"/>
        </w:trPr>
        <w:tc>
          <w:tcPr>
            <w:tcW w:type="dxa" w:w="19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視点</w:t>
            </w:r>
          </w:p>
        </w:tc>
        <w:tc>
          <w:tcPr>
            <w:tcW w:type="dxa" w:w="22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解析単位</w:t>
            </w:r>
          </w:p>
        </w:tc>
        <w:tc>
          <w:tcPr>
            <w:tcW w:type="dxa" w:w="30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主に見るもの</w:t>
            </w:r>
          </w:p>
        </w:tc>
        <w:tc>
          <w:tcPr>
            <w:tcW w:type="dxa" w:w="22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注意点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row-level scatter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フィルタ後AIRR 1行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点が実在するか。低密度集団の存在確認。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点が多いと重なりが強い。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row-level linear KDE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同一x-y座標を圧縮しrow数で重み付け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read densityの主集団。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低密度だが重要な群が薄く見える。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row-level weighted KDE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plot_weightを使用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観測read量・abundance寄りの生物学的主図候補。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PCR・samplingの影響も受ける。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row-level log-density KDE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row-level KDEをlog scaleで表示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低密度集団を潰さず確認。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全体が広く塗られ、主集団の強弱は読みづらい。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Beta1互換KDE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unique junction(nt), SHM median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旧解析比較、多様性寄りの見方。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各sequence_idのSHMばらつきは失う。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ROI summary</w:t>
            </w:r>
          </w:p>
        </w:tc>
        <w:tc>
          <w:tcPr>
            <w:tcW w:type="dxa" w:w="2200"/>
          </w:tcPr>
          <w:p>
            <w:pPr>
              <w:spacing w:after="40"/>
            </w:pPr>
            <w:r>
              <w:t>固定領域の件数表</w:t>
            </w:r>
          </w:p>
        </w:tc>
        <w:tc>
          <w:tcPr>
            <w:tcW w:type="dxa" w:w="3000"/>
          </w:tcPr>
          <w:p>
            <w:pPr>
              <w:spacing w:after="40"/>
            </w:pPr>
            <w:r>
              <w:t>図の色に依存しない確認。</w:t>
            </w:r>
          </w:p>
        </w:tc>
        <w:tc>
          <w:tcPr>
            <w:tcW w:type="dxa" w:w="2260"/>
          </w:tcPr>
          <w:p>
            <w:pPr>
              <w:spacing w:after="40"/>
            </w:pPr>
            <w:r>
              <w:t>ROI境界は仮設定であり、目的に応じて見直す。</w:t>
            </w:r>
          </w:p>
        </w:tc>
      </w:tr>
    </w:tbl>
    <w:p/>
    <w:p>
      <w:pPr>
        <w:pStyle w:val="Heading1"/>
      </w:pPr>
      <w:r>
        <w:t>2. 中心データ: row-level Excel/TSV</w:t>
      </w:r>
    </w:p>
    <w:p>
      <w:r>
        <w:t>中心データは、フィルタ後の採用AIRR各行をそのまま保持する。同じjunction_aaでもSHMが異なる可能性があるため、pGen-SHM解析ではまず各sequence_idを潰さない。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列</w:t>
            </w:r>
          </w:p>
        </w:tc>
        <w:tc>
          <w:tcPr>
            <w:tcW w:type="dxa" w:w="69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説明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sequence_id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採用AIRR行の識別子。基本の点単位。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junction_aa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pGen計算に使うAA CDR3。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shm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v_identityから計算した%Mutation。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pgen / log10_pgen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junction_aaに対応するpGenとlog10変換値。pGen=0はplotから除外。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junction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CDR3 nt。Beta1互換集計とunique junction数の確認に使う。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v_identity, locus, productive, v_call, j_call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QCと生物学的解釈用の参考列。</w:t>
            </w:r>
          </w:p>
        </w:tc>
      </w:tr>
      <w:tr>
        <w:tc>
          <w:tcPr>
            <w:tcW w:type="dxa" w:w="2400"/>
          </w:tcPr>
          <w:p>
            <w:pPr>
              <w:spacing w:after="40"/>
            </w:pPr>
            <w:r>
              <w:t>same_xy_count, plot_weight</w:t>
            </w:r>
          </w:p>
        </w:tc>
        <w:tc>
          <w:tcPr>
            <w:tcW w:type="dxa" w:w="6960"/>
          </w:tcPr>
          <w:p>
            <w:pPr>
              <w:spacing w:after="40"/>
            </w:pPr>
            <w:r>
              <w:t>同一座標の重なり数と描画重み。</w:t>
            </w:r>
          </w:p>
        </w:tc>
      </w:tr>
    </w:tbl>
    <w:p/>
    <w:p>
      <w:pPr>
        <w:pStyle w:val="Heading1"/>
      </w:pPr>
      <w:r>
        <w:t>3. 出力ファイル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900"/>
        <w:gridCol w:w="5460"/>
      </w:tblGrid>
      <w:tr>
        <w:trPr>
          <w:tblHeader w:val="true"/>
        </w:trPr>
        <w:tc>
          <w:tcPr>
            <w:tcW w:type="dxa" w:w="39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ファイル</w:t>
            </w:r>
          </w:p>
        </w:tc>
        <w:tc>
          <w:tcPr>
            <w:tcW w:type="dxa" w:w="54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役割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*_pgen_shm_rows.xlsx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採用row-level中間Excel。最重要の中心データ。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*_pgen_shm_points.tsv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row-level中間TSV。Excelと同内容を機械処理向けに保存。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*_pgen_shm_scatter_reads.png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row-level scatter。点の存在確認。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*_pgen_shm_kde_unweighted.png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row-level linear KDE。主集団のread densityを見る。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*_pgen_shm_kde_weighted.png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row-level weighted KDE。生物学的主図候補。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*_pgen_shm_kde_log_density.png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低密度集団も見えるlog-density表示。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*_pgen_shm_kde_weighted_log_density.png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weighted KDEのlog-density表示。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*_pgen_shm_beta1_unique_junction_points.tsv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Beta1互換点表。unique junctionごとにSHM medianを保存。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*_pgen_shm_kde_beta1_unique_junction_unweighted.png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旧Beta1比較用のunweighted KDE。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*_pgen_shm_kde_beta1_unique_junction_weighted.png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Beta1互換点をread_countで重み付けしたKDE。</w:t>
            </w:r>
          </w:p>
        </w:tc>
      </w:tr>
      <w:tr>
        <w:tc>
          <w:tcPr>
            <w:tcW w:type="dxa" w:w="3900"/>
          </w:tcPr>
          <w:p>
            <w:pPr>
              <w:spacing w:after="40"/>
            </w:pPr>
            <w:r>
              <w:t>*_pgen_shm_roi_summary.tsv</w:t>
            </w:r>
          </w:p>
        </w:tc>
        <w:tc>
          <w:tcPr>
            <w:tcW w:type="dxa" w:w="5460"/>
          </w:tcPr>
          <w:p>
            <w:pPr>
              <w:spacing w:after="40"/>
            </w:pPr>
            <w:r>
              <w:t>低SHM・高pGenなどの固定ROIについて、row-levelとBeta1互換を数値比較。</w:t>
            </w:r>
          </w:p>
        </w:tc>
      </w:tr>
    </w:tbl>
    <w:p/>
    <w:p>
      <w:pPr>
        <w:pStyle w:val="Heading1"/>
      </w:pPr>
      <w:r>
        <w:t>4. Beta1方式を残す理由</w:t>
      </w:r>
    </w:p>
    <w:p>
      <w:r>
        <w:t>前任者の図に近い見え方は、unique junction(nt)を1点とし、SHMをmedianにしたBeta1互換unweighted KDEで再現されることが多い。これは多様性寄りの視点であり、single/few-readの点群も山として見えやすい。一方、現在のrow-level方式は各sequence_idのSHM情報を保持するため、情報を潰さない探索に向く。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論点</w:t>
            </w:r>
          </w:p>
        </w:tc>
        <w:tc>
          <w:tcPr>
            <w:tcW w:type="dxa" w:w="68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現在の判断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medianにするか</w:t>
            </w:r>
          </w:p>
        </w:tc>
        <w:tc>
          <w:tcPr>
            <w:tcW w:type="dxa" w:w="6860"/>
          </w:tcPr>
          <w:p>
            <w:pPr>
              <w:spacing w:after="40"/>
            </w:pPr>
            <w:r>
              <w:t>主解析ではmedianに潰さず各点を残す。Beta1互換では旧比較用にmedianを残す。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scatterとKDEの差</w:t>
            </w:r>
          </w:p>
        </w:tc>
        <w:tc>
          <w:tcPr>
            <w:tcW w:type="dxa" w:w="6860"/>
          </w:tcPr>
          <w:p>
            <w:pPr>
              <w:spacing w:after="40"/>
            </w:pPr>
            <w:r>
              <w:t>scatterは存在確認、KDEは密度表示。KDEで消えたように見える群もscatter/log-density/ROIで確認する。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weightedを押すか</w:t>
            </w:r>
          </w:p>
        </w:tc>
        <w:tc>
          <w:tcPr>
            <w:tcW w:type="dxa" w:w="6860"/>
          </w:tcPr>
          <w:p>
            <w:pPr>
              <w:spacing w:after="40"/>
            </w:pPr>
            <w:r>
              <w:t>生物学的に観測read量を重視する場合、row-level weighted KDEを主図候補にできる。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前任者図との比較</w:t>
            </w:r>
          </w:p>
        </w:tc>
        <w:tc>
          <w:tcPr>
            <w:tcW w:type="dxa" w:w="6860"/>
          </w:tcPr>
          <w:p>
            <w:pPr>
              <w:spacing w:after="40"/>
            </w:pPr>
            <w:r>
              <w:t>Beta1互換unweighted KDEが最も近い場合がある。主張図とは別に比較図として保持する。</w:t>
            </w:r>
          </w:p>
        </w:tc>
      </w:tr>
    </w:tbl>
    <w:p/>
    <w:p>
      <w:pPr>
        <w:pStyle w:val="Heading1"/>
      </w:pPr>
      <w:r>
        <w:t>5. ROI summaryの既定領域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3500"/>
        <w:gridCol w:w="3360"/>
      </w:tblGrid>
      <w:tr>
        <w:trPr>
          <w:tblHeader w:val="true"/>
        </w:trPr>
        <w:tc>
          <w:tcPr>
            <w:tcW w:type="dxa" w:w="25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ROI名</w:t>
            </w:r>
          </w:p>
        </w:tc>
        <w:tc>
          <w:tcPr>
            <w:tcW w:type="dxa" w:w="35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条件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目的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beta1_low_shm_high_pgen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t>-16 &lt; log10_pgen &lt; -9 and 0 &lt;= SHM &lt; 2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旧Beta1資料で注目した低SHM・高pGen領域。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low_shm_core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t>-15 &lt;= log10_pgen &lt; -10 and 0 &lt;= SHM &lt; 2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右下集団のコア領域確認。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low_shm_broad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t>-16 &lt;= log10_pgen &lt; -5 and 0 &lt;= SHM &lt; 3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低SHM側を広めに拾う確認領域。</w:t>
            </w:r>
          </w:p>
        </w:tc>
      </w:tr>
      <w:tr>
        <w:tc>
          <w:tcPr>
            <w:tcW w:type="dxa" w:w="2500"/>
          </w:tcPr>
          <w:p>
            <w:pPr>
              <w:spacing w:after="40"/>
            </w:pPr>
            <w:r>
              <w:t>main_mid_high_shm_reference</w:t>
            </w:r>
          </w:p>
        </w:tc>
        <w:tc>
          <w:tcPr>
            <w:tcW w:type="dxa" w:w="3500"/>
          </w:tcPr>
          <w:p>
            <w:pPr>
              <w:spacing w:after="40"/>
            </w:pPr>
            <w:r>
              <w:t>-21 &lt;= log10_pgen &lt; -10 and 5 &lt;= SHM &lt; 15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t>主集団との比較用。</w:t>
            </w:r>
          </w:p>
        </w:tc>
      </w:tr>
    </w:tbl>
    <w:p/>
    <w:p>
      <w:pPr>
        <w:pStyle w:val="Heading1"/>
      </w:pPr>
      <w:r>
        <w:t>6. 推奨する見方</w:t>
      </w:r>
    </w:p>
    <w:p>
      <w:pPr>
        <w:pStyle w:val="ListNumber"/>
        <w:spacing w:after="80" w:line="300" w:lineRule="auto"/>
        <w:ind w:left="540" w:hanging="271"/>
      </w:pPr>
      <w:r>
        <w:t>まずrow-level Excel/TSVとQC summaryで、採用行数、pGen=0、locus除外、V alignment情報を確認する。</w:t>
      </w:r>
    </w:p>
    <w:p>
      <w:pPr>
        <w:pStyle w:val="ListNumber"/>
        <w:spacing w:after="80" w:line="300" w:lineRule="auto"/>
        <w:ind w:left="540" w:hanging="271"/>
      </w:pPr>
      <w:r>
        <w:t>scatterで低SHM・高pGenなどの点が存在するか確認する。</w:t>
      </w:r>
    </w:p>
    <w:p>
      <w:pPr>
        <w:pStyle w:val="ListNumber"/>
        <w:spacing w:after="80" w:line="300" w:lineRule="auto"/>
        <w:ind w:left="540" w:hanging="271"/>
      </w:pPr>
      <w:r>
        <w:t>row-level weighted KDEを観測read量を反映した主図候補として見る。</w:t>
      </w:r>
    </w:p>
    <w:p>
      <w:pPr>
        <w:pStyle w:val="ListNumber"/>
        <w:spacing w:after="80" w:line="300" w:lineRule="auto"/>
        <w:ind w:left="540" w:hanging="271"/>
      </w:pPr>
      <w:r>
        <w:t>linear KDEで見えない低密度群はlog-density KDEとROI summaryで確認する。</w:t>
      </w:r>
    </w:p>
    <w:p>
      <w:pPr>
        <w:pStyle w:val="ListNumber"/>
        <w:spacing w:after="80" w:line="300" w:lineRule="auto"/>
        <w:ind w:left="540" w:hanging="271"/>
      </w:pPr>
      <w:r>
        <w:t>前任者図や旧解析との比較にはBeta1互換unweighted KDEを使う。</w:t>
      </w:r>
    </w:p>
    <w:p>
      <w:pPr>
        <w:pStyle w:val="Heading1"/>
      </w:pPr>
      <w:r>
        <w:t>7. 議論点と今後の改善案</w:t>
      </w:r>
    </w:p>
    <w:p>
      <w:pPr>
        <w:pStyle w:val="ListBullet"/>
        <w:spacing w:after="80" w:line="300" w:lineRule="auto"/>
        <w:ind w:left="540" w:hanging="271"/>
      </w:pPr>
      <w:r>
        <w:t>pGen-SHM plotは探索的解析であり、現時点で唯一の正解はない。複数の見方を残す方針が妥当。</w:t>
      </w:r>
    </w:p>
    <w:p>
      <w:pPr>
        <w:pStyle w:val="ListBullet"/>
        <w:spacing w:after="80" w:line="300" w:lineRule="auto"/>
        <w:ind w:left="540" w:hanging="271"/>
      </w:pPr>
      <w:r>
        <w:t>row-level weighted KDEは生物学的な存在量を反映しやすいが、PCR増幅やsamplingの影響も併せて考える。</w:t>
      </w:r>
    </w:p>
    <w:p>
      <w:pPr>
        <w:pStyle w:val="ListBullet"/>
        <w:spacing w:after="80" w:line="300" w:lineRule="auto"/>
        <w:ind w:left="540" w:hanging="271"/>
      </w:pPr>
      <w:r>
        <w:t>Beta1互換unweighted KDEは多様性寄りで、少数readの集団を見つけやすい。</w:t>
      </w:r>
    </w:p>
    <w:p>
      <w:pPr>
        <w:pStyle w:val="ListBullet"/>
        <w:spacing w:after="80" w:line="300" w:lineRule="auto"/>
        <w:ind w:left="540" w:hanging="271"/>
      </w:pPr>
      <w:r>
        <w:t>log-density KDEは低密度群の見落としを避ける確認図であり、主図としては広がりすぎる場合がある。</w:t>
      </w:r>
    </w:p>
    <w:p>
      <w:pPr>
        <w:pStyle w:val="ListBullet"/>
        <w:spacing w:after="80" w:line="300" w:lineRule="auto"/>
        <w:ind w:left="540" w:hanging="271"/>
      </w:pPr>
      <w:r>
        <w:t>将来的にはROIをGUIで設定可能にする、KDE bandwidthを複数出力する、V alignment length別の感度解析を追加する余地がある。</w:t>
      </w:r>
    </w:p>
    <w:p>
      <w:pPr>
        <w:pStyle w:val="Heading1"/>
      </w:pPr>
      <w:r>
        <w:rPr>
          <w:color w:val="2E74B5"/>
        </w:rPr>
        <w:t>8. 解析フローと採用フィルタ</w:t>
      </w:r>
    </w:p>
    <w:p>
      <w:r>
        <w:t>現在の解析フローは、マージした配列からIgBLAST AIRR TSVを作成し、そのAIRR TSVにフィルタを適用した後、採用row-level Excel/TSVを中心データとして保存する流れである。FASTAを本GUIへ直接入れるのではなく、前段でAIRR TSV化済みのデータを入力する。</w:t>
      </w:r>
    </w:p>
    <w:p>
      <w:r>
        <w:t>productiveはIgBLAST/AIRRの総合判定であり、V-Jがin-frameであること、stop codonを含まないこと等を反映する。したがって、vj_in_frameとstop_codonはproductiveとは独立した別概念の主フィルタではなく、AIRR TSVに列がある場合だけproductive判定の内訳を補助確認し、矛盾行を除くための安全確認として扱う。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4200"/>
        <w:gridCol w:w="3260"/>
      </w:tblGrid>
      <w:tr>
        <w:tc>
          <w:tcPr>
            <w:tcW w:type="dxa" w:w="19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段階</w:t>
            </w:r>
          </w:p>
        </w:tc>
        <w:tc>
          <w:tcPr>
            <w:tcW w:type="dxa" w:w="42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処理内容</w:t>
            </w:r>
          </w:p>
        </w:tc>
        <w:tc>
          <w:tcPr>
            <w:tcW w:type="dxa" w:w="32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主な出力・確認点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1. merged sequence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t>前段GUIまたは別工程でマージ済み配列を作成する。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t>このGUIの直接入力ではない。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2. IgBLAST AIRR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t>マージ済み配列をIgBLAST -outfmt 19でAIRR TSVにする。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t>*.igblast.airr.tsv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3. filter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t>productive, locus, junction, junction_aa等で採用行を決める。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t>QC summaryに除外件数を記録。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4. row-level Excel/TSV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t>採用AIRR各行を潰さず、sequence_idごとにpGenとSHMを付与する。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t>*_pgen_shm_rows.xlsx / *_pgen_shm_points.tsv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5. plots/tables</w:t>
            </w:r>
          </w:p>
        </w:tc>
        <w:tc>
          <w:tcPr>
            <w:tcW w:type="dxa" w:w="4200"/>
          </w:tcPr>
          <w:p>
            <w:pPr>
              <w:spacing w:after="40"/>
            </w:pPr>
            <w:r>
              <w:t>中心データからscatter, KDE, log-density, Beta1互換, ROI summaryを作る。</w:t>
            </w:r>
          </w:p>
        </w:tc>
        <w:tc>
          <w:tcPr>
            <w:tcW w:type="dxa" w:w="3260"/>
          </w:tcPr>
          <w:p>
            <w:pPr>
              <w:spacing w:after="40"/>
            </w:pPr>
            <w:r>
              <w:t>複数の見方を併用して解釈。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4300"/>
        <w:gridCol w:w="3160"/>
      </w:tblGrid>
      <w:tr>
        <w:tc>
          <w:tcPr>
            <w:tcW w:type="dxa" w:w="19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フィルタ</w:t>
            </w:r>
          </w:p>
        </w:tc>
        <w:tc>
          <w:tcPr>
            <w:tcW w:type="dxa" w:w="430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採用条件</w:t>
            </w:r>
          </w:p>
        </w:tc>
        <w:tc>
          <w:tcPr>
            <w:tcW w:type="dxa" w:w="3160"/>
            <w:vAlign w:val="center"/>
            <w:shd w:fill="E8EEF5"/>
          </w:tcPr>
          <w:p>
            <w:pPr>
              <w:jc w:val="center"/>
            </w:pPr>
            <w:r>
              <w:rPr>
                <w:b/>
                <w:color w:val="0B2545"/>
              </w:rPr>
              <w:t>補足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locus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基本はIGH。locus列がありIGH以外なら除外。空欄locusは保持しQCに記録。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OLGA human_B_heavyを使うため。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productive</w:t>
            </w:r>
          </w:p>
        </w:tc>
        <w:tc>
          <w:tcPr>
            <w:tcW w:type="dxa" w:w="4300"/>
          </w:tcPr>
          <w:p>
            <w:r>
              <w:t>productive == Tを主条件として採用。</w:t>
            </w:r>
          </w:p>
        </w:tc>
        <w:tc>
          <w:tcPr>
            <w:tcW w:type="dxa" w:w="3160"/>
          </w:tcPr>
          <w:p>
            <w:r>
              <w:t>IgBLAST/AIRRの総合判定。V-J in-frame、stop codonなし等を反映するため、下記2条件は補助確認として扱う。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vj_in_frame</w:t>
            </w:r>
          </w:p>
        </w:tc>
        <w:tc>
          <w:tcPr>
            <w:tcW w:type="dxa" w:w="4300"/>
          </w:tcPr>
          <w:p>
            <w:r>
              <w:t>列がある場合のみTを採用。</w:t>
            </w:r>
          </w:p>
        </w:tc>
        <w:tc>
          <w:tcPr>
            <w:tcW w:type="dxa" w:w="3160"/>
          </w:tcPr>
          <w:p>
            <w:r>
              <w:t>productive判定の内訳確認。列がない場合はこの条件を適用しない。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stop_codon</w:t>
            </w:r>
          </w:p>
        </w:tc>
        <w:tc>
          <w:tcPr>
            <w:tcW w:type="dxa" w:w="4300"/>
          </w:tcPr>
          <w:p>
            <w:r>
              <w:t>列がある場合のみFまたはFalseを採用。</w:t>
            </w:r>
          </w:p>
        </w:tc>
        <w:tc>
          <w:tcPr>
            <w:tcW w:type="dxa" w:w="3160"/>
          </w:tcPr>
          <w:p>
            <w:r>
              <w:t>productive判定の内訳確認。列がない場合はこの条件を適用しない。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junction nt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空欄でなくA/C/G/Tのみ。Nや記号を含むものは除外。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Beta1互換集計とjunction品質確認のため。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junction_aa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空欄でなく、*やXを含まない英字。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pGen計算に不適なAAを除外。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junction_aa canonical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先頭C、末尾W/Fは現行の必須条件ではない。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マージ済み配列由来AIRRでは非canonicalも残し、pGen=0等として確認する。</w:t>
            </w:r>
          </w:p>
        </w:tc>
      </w:tr>
      <w:tr>
        <w:tc>
          <w:tcPr>
            <w:tcW w:type="dxa" w:w="1900"/>
          </w:tcPr>
          <w:p>
            <w:pPr>
              <w:spacing w:after="40"/>
            </w:pPr>
            <w:r>
              <w:t>V alignment length</w:t>
            </w:r>
          </w:p>
        </w:tc>
        <w:tc>
          <w:tcPr>
            <w:tcW w:type="dxa" w:w="4300"/>
          </w:tcPr>
          <w:p>
            <w:pPr>
              <w:spacing w:after="40"/>
            </w:pPr>
            <w:r>
              <w:t>既定では下限0。GUIでMin V alignment lengthを設定した場合のみ除外。</w:t>
            </w:r>
          </w:p>
        </w:tc>
        <w:tc>
          <w:tcPr>
            <w:tcW w:type="dxa" w:w="3160"/>
          </w:tcPr>
          <w:p>
            <w:pPr>
              <w:spacing w:after="40"/>
            </w:pPr>
            <w:r>
              <w:t>短いV alignment由来SHMの感度解析用。</w:t>
            </w:r>
          </w:p>
        </w:tc>
      </w:tr>
    </w:tbl>
    <w:p/>
    <w:p>
      <w:pPr>
        <w:pStyle w:val="Heading1"/>
      </w:pPr>
      <w:r>
        <w:rPr>
          <w:color w:val="2E74B5"/>
        </w:rPr>
        <w:t>9. pGen=0の扱いと意味</w:t>
      </w:r>
    </w:p>
    <w:p>
      <w:r>
        <w:t>pGen=0は、OLGA human_B_heavyモデル上でそのjunction_aaの生成確率が0、またはモデル外として扱われることを意味する。これは「生成されやすい」方向ではなく、最も生成されにくい側である。log10(pGen)が計算できないためplotからは除外するが、採用row-level Excel/TSVには残し、件数をrun logやQCで確認できるようにする。</w:t>
      </w:r>
    </w:p>
    <w:p>
      <w:pPr>
        <w:pStyle w:val="ListBullet"/>
        <w:spacing w:after="80"/>
      </w:pPr>
      <w:r>
        <w:t>pGenは大きいほど生成されやすい。例: 1e-10は1e-20より生成されやすい。</w:t>
      </w:r>
    </w:p>
    <w:p>
      <w:pPr>
        <w:pStyle w:val="ListBullet"/>
        <w:spacing w:after="80"/>
      </w:pPr>
      <w:r>
        <w:t>pGen=0は概念的にはlog10(pGen) = -infinity側であり、2D plotのx軸に置けない。</w:t>
      </w:r>
    </w:p>
    <w:p>
      <w:pPr>
        <w:pStyle w:val="ListBullet"/>
        <w:spacing w:after="80"/>
      </w:pPr>
      <w:r>
        <w:t>我々の出力済みデータではrow-levelで約0.27%がpGen=0であり、plot全体への影響は小さい。</w:t>
      </w:r>
    </w:p>
    <w:p>
      <w:pPr>
        <w:pStyle w:val="ListBullet"/>
        <w:spacing w:after="80"/>
      </w:pPr>
      <w:r>
        <w:t>pGen=0例には、junction_aaの先頭がCでない、末尾がW/Fでない、または極端に長い配列が多い。</w:t>
      </w:r>
    </w:p>
    <w:p>
      <w:pPr>
        <w:pStyle w:val="ListBullet"/>
        <w:spacing w:after="80"/>
      </w:pPr>
      <w:r>
        <w:t>非canonical junction_aaは直ちに削除せず、探索段階では中間表に残して後から確認できるようにする。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>pGen-SHM specification / row-level center and beta1-compatible views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TSVからpGen-SHMデータ作成仕様書_20260607.docx</dc:title>
  <dc:subject>RG AIRR TSV to pGen-SHM plot handoff specification</dc:subject>
  <dc:creator>Codex</dc:creator>
  <cp:keywords>AIRR, IgBLAST, pGen, SHM, OLGA, beta1, row-level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