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Yu Gothic"/>
          <w:b/>
          <w:color w:val="1F4D78"/>
          <w:sz w:val="40"/>
        </w:rPr>
        <w:t>TSVからSHMデータ作成仕様書</w:t>
      </w:r>
    </w:p>
    <w:p>
      <w:pPr>
        <w:spacing w:after="200"/>
      </w:pPr>
      <w:r>
        <w:rPr>
          <w:color w:val="666666"/>
          <w:sz w:val="20"/>
        </w:rPr>
        <w:t>対象: IgBLAST AIRR outfmt 19 TSV -&gt; SHM histogram / SHM intermediate data</w:t>
      </w:r>
    </w:p>
    <w:p>
      <w:pPr>
        <w:pStyle w:val="Heading1"/>
      </w:pPr>
      <w:r>
        <w:t>1. 目的</w:t>
      </w:r>
    </w:p>
    <w:p>
      <w:r>
        <w:t>本仕様書は、IgBLAST outfmt 19のAIRR TSVからSHMデータを作成する処理を定義する。SHMデータは、pGen-SHM plotの縦軸に使うだけでなく、単独でSHM分布を確認するための中間成果物である。処理の主目的は、read単位のばらつきをそのまま可視化するのではなく、unique junction(nt)単位に集約したmedian SHMを作成し、サンプル内の変異率分布を安定して評価できるようにすることである。</w:t>
      </w:r>
    </w:p>
    <w:tbl>
      <w:tblPr>
        <w:tblStyle w:val="TableGrid"/>
        <w:tblW w:type="auto" w:w="0"/>
        <w:jc w:val="left"/>
        <w:tblLayout w:type="fixed"/>
        <w:tblLook w:firstColumn="1" w:firstRow="1" w:lastColumn="0" w:lastRow="0" w:noHBand="0" w:noVBand="1" w:val="04A0"/>
      </w:tblPr>
      <w:tblGrid>
        <w:gridCol w:w="4680"/>
        <w:gridCol w:w="4680"/>
      </w:tblGrid>
      <w:tr>
        <w:tc>
          <w:tcPr>
            <w:tcW w:type="dxa" w:w="2304"/>
            <w:shd w:fill="E8EEF5"/>
            <w:tcMar>
              <w:top w:w="80" w:type="dxa"/>
              <w:start w:w="120" w:type="dxa"/>
              <w:bottom w:w="80" w:type="dxa"/>
              <w:end w:w="120" w:type="dxa"/>
            </w:tcMar>
            <w:vAlign w:val="center"/>
          </w:tcPr>
          <w:p>
            <w:r>
              <w:rPr>
                <w:b/>
              </w:rPr>
              <w:t>項目</w:t>
            </w:r>
          </w:p>
        </w:tc>
        <w:tc>
          <w:tcPr>
            <w:tcW w:type="dxa" w:w="7056"/>
            <w:shd w:fill="E8EEF5"/>
            <w:tcMar>
              <w:top w:w="80" w:type="dxa"/>
              <w:start w:w="120" w:type="dxa"/>
              <w:bottom w:w="80" w:type="dxa"/>
              <w:end w:w="120" w:type="dxa"/>
            </w:tcMar>
            <w:vAlign w:val="center"/>
          </w:tcPr>
          <w:p>
            <w:r>
              <w:rPr>
                <w:b/>
              </w:rPr>
              <w:t>仕様</w:t>
            </w:r>
          </w:p>
        </w:tc>
      </w:tr>
      <w:tr>
        <w:tc>
          <w:tcPr>
            <w:tcW w:type="dxa" w:w="2304"/>
            <w:tcMar>
              <w:top w:w="80" w:type="dxa"/>
              <w:start w:w="120" w:type="dxa"/>
              <w:bottom w:w="80" w:type="dxa"/>
              <w:end w:w="120" w:type="dxa"/>
            </w:tcMar>
            <w:vAlign w:val="center"/>
          </w:tcPr>
          <w:p>
            <w:r>
              <w:t>入力</w:t>
            </w:r>
          </w:p>
        </w:tc>
        <w:tc>
          <w:tcPr>
            <w:tcW w:type="dxa" w:w="7056"/>
            <w:tcMar>
              <w:top w:w="80" w:type="dxa"/>
              <w:start w:w="120" w:type="dxa"/>
              <w:bottom w:w="80" w:type="dxa"/>
              <w:end w:w="120" w:type="dxa"/>
            </w:tcMar>
            <w:vAlign w:val="center"/>
          </w:tcPr>
          <w:p>
            <w:r>
              <w:t>IgBLAST AIRR outfmt 19 TSV。FASTAやcounts TSVは入力対象外。</w:t>
            </w:r>
          </w:p>
        </w:tc>
      </w:tr>
      <w:tr>
        <w:tc>
          <w:tcPr>
            <w:tcW w:type="dxa" w:w="2304"/>
            <w:tcMar>
              <w:top w:w="80" w:type="dxa"/>
              <w:start w:w="120" w:type="dxa"/>
              <w:bottom w:w="80" w:type="dxa"/>
              <w:end w:w="120" w:type="dxa"/>
            </w:tcMar>
            <w:vAlign w:val="center"/>
          </w:tcPr>
          <w:p>
            <w:r>
              <w:t>主出力</w:t>
            </w:r>
          </w:p>
        </w:tc>
        <w:tc>
          <w:tcPr>
            <w:tcW w:type="dxa" w:w="7056"/>
            <w:tcMar>
              <w:top w:w="80" w:type="dxa"/>
              <w:start w:w="120" w:type="dxa"/>
              <w:bottom w:w="80" w:type="dxa"/>
              <w:end w:w="120" w:type="dxa"/>
            </w:tcMar>
            <w:vAlign w:val="center"/>
          </w:tcPr>
          <w:p>
            <w:r>
              <w:t>&lt;sample&gt;_shm_hist.tsv, &lt;sample&gt;_shm_hist.png</w:t>
            </w:r>
          </w:p>
        </w:tc>
      </w:tr>
      <w:tr>
        <w:tc>
          <w:tcPr>
            <w:tcW w:type="dxa" w:w="2304"/>
            <w:tcMar>
              <w:top w:w="80" w:type="dxa"/>
              <w:start w:w="120" w:type="dxa"/>
              <w:bottom w:w="80" w:type="dxa"/>
              <w:end w:w="120" w:type="dxa"/>
            </w:tcMar>
            <w:vAlign w:val="center"/>
          </w:tcPr>
          <w:p>
            <w:r>
              <w:t>中間出力</w:t>
            </w:r>
          </w:p>
        </w:tc>
        <w:tc>
          <w:tcPr>
            <w:tcW w:type="dxa" w:w="7056"/>
            <w:tcMar>
              <w:top w:w="80" w:type="dxa"/>
              <w:start w:w="120" w:type="dxa"/>
              <w:bottom w:w="80" w:type="dxa"/>
              <w:end w:w="120" w:type="dxa"/>
            </w:tcMar>
            <w:vAlign w:val="center"/>
          </w:tcPr>
          <w:p>
            <w:r>
              <w:t>&lt;sample&gt;_pgen_shm_points.tsv内のshm_median列</w:t>
            </w:r>
          </w:p>
        </w:tc>
      </w:tr>
      <w:tr>
        <w:tc>
          <w:tcPr>
            <w:tcW w:type="dxa" w:w="2304"/>
            <w:tcMar>
              <w:top w:w="80" w:type="dxa"/>
              <w:start w:w="120" w:type="dxa"/>
              <w:bottom w:w="80" w:type="dxa"/>
              <w:end w:w="120" w:type="dxa"/>
            </w:tcMar>
            <w:vAlign w:val="center"/>
          </w:tcPr>
          <w:p>
            <w:r>
              <w:t>解析単位</w:t>
            </w:r>
          </w:p>
        </w:tc>
        <w:tc>
          <w:tcPr>
            <w:tcW w:type="dxa" w:w="7056"/>
            <w:tcMar>
              <w:top w:w="80" w:type="dxa"/>
              <w:start w:w="120" w:type="dxa"/>
              <w:bottom w:w="80" w:type="dxa"/>
              <w:end w:w="120" w:type="dxa"/>
            </w:tcMar>
            <w:vAlign w:val="center"/>
          </w:tcPr>
          <w:p>
            <w:r>
              <w:t>unique junction(nt)。同じjunction配列を持つreadを1グループとする。</w:t>
            </w:r>
          </w:p>
        </w:tc>
      </w:tr>
      <w:tr>
        <w:tc>
          <w:tcPr>
            <w:tcW w:type="dxa" w:w="2304"/>
            <w:tcMar>
              <w:top w:w="80" w:type="dxa"/>
              <w:start w:w="120" w:type="dxa"/>
              <w:bottom w:w="80" w:type="dxa"/>
              <w:end w:w="120" w:type="dxa"/>
            </w:tcMar>
            <w:vAlign w:val="center"/>
          </w:tcPr>
          <w:p>
            <w:r>
              <w:t>SHM定義</w:t>
            </w:r>
          </w:p>
        </w:tc>
        <w:tc>
          <w:tcPr>
            <w:tcW w:type="dxa" w:w="7056"/>
            <w:tcMar>
              <w:top w:w="80" w:type="dxa"/>
              <w:start w:w="120" w:type="dxa"/>
              <w:bottom w:w="80" w:type="dxa"/>
              <w:end w:w="120" w:type="dxa"/>
            </w:tcMar>
            <w:vAlign w:val="center"/>
          </w:tcPr>
          <w:p>
            <w:r>
              <w:t>v_identityから算出するV領域変異率。</w:t>
            </w:r>
          </w:p>
        </w:tc>
      </w:tr>
    </w:tbl>
    <w:p/>
    <w:p>
      <w:pPr>
        <w:pStyle w:val="Heading1"/>
      </w:pPr>
      <w:r>
        <w:t>2. 必須入力カラム</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1872"/>
            <w:shd w:fill="E8EEF5"/>
            <w:tcMar>
              <w:top w:w="80" w:type="dxa"/>
              <w:start w:w="120" w:type="dxa"/>
              <w:bottom w:w="80" w:type="dxa"/>
              <w:end w:w="120" w:type="dxa"/>
            </w:tcMar>
            <w:vAlign w:val="center"/>
          </w:tcPr>
          <w:p>
            <w:r>
              <w:rPr>
                <w:b/>
              </w:rPr>
              <w:t>カラム</w:t>
            </w:r>
          </w:p>
        </w:tc>
        <w:tc>
          <w:tcPr>
            <w:tcW w:type="dxa" w:w="1007"/>
            <w:shd w:fill="E8EEF5"/>
            <w:tcMar>
              <w:top w:w="80" w:type="dxa"/>
              <w:start w:w="120" w:type="dxa"/>
              <w:bottom w:w="80" w:type="dxa"/>
              <w:end w:w="120" w:type="dxa"/>
            </w:tcMar>
            <w:vAlign w:val="center"/>
          </w:tcPr>
          <w:p>
            <w:r>
              <w:rPr>
                <w:b/>
              </w:rPr>
              <w:t>必須</w:t>
            </w:r>
          </w:p>
        </w:tc>
        <w:tc>
          <w:tcPr>
            <w:tcW w:type="dxa" w:w="3168"/>
            <w:shd w:fill="E8EEF5"/>
            <w:tcMar>
              <w:top w:w="80" w:type="dxa"/>
              <w:start w:w="120" w:type="dxa"/>
              <w:bottom w:w="80" w:type="dxa"/>
              <w:end w:w="120" w:type="dxa"/>
            </w:tcMar>
            <w:vAlign w:val="center"/>
          </w:tcPr>
          <w:p>
            <w:r>
              <w:rPr>
                <w:b/>
              </w:rPr>
              <w:t>用途</w:t>
            </w:r>
          </w:p>
        </w:tc>
        <w:tc>
          <w:tcPr>
            <w:tcW w:type="dxa" w:w="3311"/>
            <w:shd w:fill="E8EEF5"/>
            <w:tcMar>
              <w:top w:w="80" w:type="dxa"/>
              <w:start w:w="120" w:type="dxa"/>
              <w:bottom w:w="80" w:type="dxa"/>
              <w:end w:w="120" w:type="dxa"/>
            </w:tcMar>
            <w:vAlign w:val="center"/>
          </w:tcPr>
          <w:p>
            <w:r>
              <w:rPr>
                <w:b/>
              </w:rPr>
              <w:t>エラー/欠損時の扱い</w:t>
            </w:r>
          </w:p>
        </w:tc>
      </w:tr>
      <w:tr>
        <w:tc>
          <w:tcPr>
            <w:tcW w:type="dxa" w:w="1872"/>
            <w:tcMar>
              <w:top w:w="80" w:type="dxa"/>
              <w:start w:w="120" w:type="dxa"/>
              <w:bottom w:w="80" w:type="dxa"/>
              <w:end w:w="120" w:type="dxa"/>
            </w:tcMar>
            <w:vAlign w:val="center"/>
          </w:tcPr>
          <w:p>
            <w:r>
              <w:t>productive</w:t>
            </w:r>
          </w:p>
        </w:tc>
        <w:tc>
          <w:tcPr>
            <w:tcW w:type="dxa" w:w="1007"/>
            <w:tcMar>
              <w:top w:w="80" w:type="dxa"/>
              <w:start w:w="120" w:type="dxa"/>
              <w:bottom w:w="80" w:type="dxa"/>
              <w:end w:w="120" w:type="dxa"/>
            </w:tcMar>
            <w:vAlign w:val="center"/>
          </w:tcPr>
          <w:p>
            <w:r>
              <w:t>必須</w:t>
            </w:r>
          </w:p>
        </w:tc>
        <w:tc>
          <w:tcPr>
            <w:tcW w:type="dxa" w:w="3168"/>
            <w:tcMar>
              <w:top w:w="80" w:type="dxa"/>
              <w:start w:w="120" w:type="dxa"/>
              <w:bottom w:w="80" w:type="dxa"/>
              <w:end w:w="120" w:type="dxa"/>
            </w:tcMar>
            <w:vAlign w:val="center"/>
          </w:tcPr>
          <w:p>
            <w:r>
              <w:t>機能性フィルタ。Tのみ採用。</w:t>
            </w:r>
          </w:p>
        </w:tc>
        <w:tc>
          <w:tcPr>
            <w:tcW w:type="dxa" w:w="3311"/>
            <w:tcMar>
              <w:top w:w="80" w:type="dxa"/>
              <w:start w:w="120" w:type="dxa"/>
              <w:bottom w:w="80" w:type="dxa"/>
              <w:end w:w="120" w:type="dxa"/>
            </w:tcMar>
            <w:vAlign w:val="center"/>
          </w:tcPr>
          <w:p>
            <w:r>
              <w:t>列が無い場合は処理停止。Tでない行は除外。</w:t>
            </w:r>
          </w:p>
        </w:tc>
      </w:tr>
      <w:tr>
        <w:tc>
          <w:tcPr>
            <w:tcW w:type="dxa" w:w="1872"/>
            <w:tcMar>
              <w:top w:w="80" w:type="dxa"/>
              <w:start w:w="120" w:type="dxa"/>
              <w:bottom w:w="80" w:type="dxa"/>
              <w:end w:w="120" w:type="dxa"/>
            </w:tcMar>
            <w:vAlign w:val="center"/>
          </w:tcPr>
          <w:p>
            <w:r>
              <w:t>junction</w:t>
            </w:r>
          </w:p>
        </w:tc>
        <w:tc>
          <w:tcPr>
            <w:tcW w:type="dxa" w:w="1007"/>
            <w:tcMar>
              <w:top w:w="80" w:type="dxa"/>
              <w:start w:w="120" w:type="dxa"/>
              <w:bottom w:w="80" w:type="dxa"/>
              <w:end w:w="120" w:type="dxa"/>
            </w:tcMar>
            <w:vAlign w:val="center"/>
          </w:tcPr>
          <w:p>
            <w:r>
              <w:t>必須</w:t>
            </w:r>
          </w:p>
        </w:tc>
        <w:tc>
          <w:tcPr>
            <w:tcW w:type="dxa" w:w="3168"/>
            <w:tcMar>
              <w:top w:w="80" w:type="dxa"/>
              <w:start w:w="120" w:type="dxa"/>
              <w:bottom w:w="80" w:type="dxa"/>
              <w:end w:w="120" w:type="dxa"/>
            </w:tcMar>
            <w:vAlign w:val="center"/>
          </w:tcPr>
          <w:p>
            <w:r>
              <w:t>unique junction(nt)のグループキー。</w:t>
            </w:r>
          </w:p>
        </w:tc>
        <w:tc>
          <w:tcPr>
            <w:tcW w:type="dxa" w:w="3311"/>
            <w:tcMar>
              <w:top w:w="80" w:type="dxa"/>
              <w:start w:w="120" w:type="dxa"/>
              <w:bottom w:w="80" w:type="dxa"/>
              <w:end w:w="120" w:type="dxa"/>
            </w:tcMar>
            <w:vAlign w:val="center"/>
          </w:tcPr>
          <w:p>
            <w:r>
              <w:t>列が無い場合は処理停止。空欄や非ACGT混入は除外。</w:t>
            </w:r>
          </w:p>
        </w:tc>
      </w:tr>
      <w:tr>
        <w:tc>
          <w:tcPr>
            <w:tcW w:type="dxa" w:w="1872"/>
            <w:tcMar>
              <w:top w:w="80" w:type="dxa"/>
              <w:start w:w="120" w:type="dxa"/>
              <w:bottom w:w="80" w:type="dxa"/>
              <w:end w:w="120" w:type="dxa"/>
            </w:tcMar>
            <w:vAlign w:val="center"/>
          </w:tcPr>
          <w:p>
            <w:r>
              <w:t>junction_aa</w:t>
            </w:r>
          </w:p>
        </w:tc>
        <w:tc>
          <w:tcPr>
            <w:tcW w:type="dxa" w:w="1007"/>
            <w:tcMar>
              <w:top w:w="80" w:type="dxa"/>
              <w:start w:w="120" w:type="dxa"/>
              <w:bottom w:w="80" w:type="dxa"/>
              <w:end w:w="120" w:type="dxa"/>
            </w:tcMar>
            <w:vAlign w:val="center"/>
          </w:tcPr>
          <w:p>
            <w:r>
              <w:t>必須</w:t>
            </w:r>
          </w:p>
        </w:tc>
        <w:tc>
          <w:tcPr>
            <w:tcW w:type="dxa" w:w="3168"/>
            <w:tcMar>
              <w:top w:w="80" w:type="dxa"/>
              <w:start w:w="120" w:type="dxa"/>
              <w:bottom w:w="80" w:type="dxa"/>
              <w:end w:w="120" w:type="dxa"/>
            </w:tcMar>
            <w:vAlign w:val="center"/>
          </w:tcPr>
          <w:p>
            <w:r>
              <w:t>pGen側との統合に必要。</w:t>
            </w:r>
          </w:p>
        </w:tc>
        <w:tc>
          <w:tcPr>
            <w:tcW w:type="dxa" w:w="3311"/>
            <w:tcMar>
              <w:top w:w="80" w:type="dxa"/>
              <w:start w:w="120" w:type="dxa"/>
              <w:bottom w:w="80" w:type="dxa"/>
              <w:end w:w="120" w:type="dxa"/>
            </w:tcMar>
            <w:vAlign w:val="center"/>
          </w:tcPr>
          <w:p>
            <w:r>
              <w:t>空欄、*、X、非英字は除外。SHM単独でも統合仕様に合わせる。</w:t>
            </w:r>
          </w:p>
        </w:tc>
      </w:tr>
      <w:tr>
        <w:tc>
          <w:tcPr>
            <w:tcW w:type="dxa" w:w="1872"/>
            <w:tcMar>
              <w:top w:w="80" w:type="dxa"/>
              <w:start w:w="120" w:type="dxa"/>
              <w:bottom w:w="80" w:type="dxa"/>
              <w:end w:w="120" w:type="dxa"/>
            </w:tcMar>
            <w:vAlign w:val="center"/>
          </w:tcPr>
          <w:p>
            <w:r>
              <w:t>v_identity</w:t>
            </w:r>
          </w:p>
        </w:tc>
        <w:tc>
          <w:tcPr>
            <w:tcW w:type="dxa" w:w="1007"/>
            <w:tcMar>
              <w:top w:w="80" w:type="dxa"/>
              <w:start w:w="120" w:type="dxa"/>
              <w:bottom w:w="80" w:type="dxa"/>
              <w:end w:w="120" w:type="dxa"/>
            </w:tcMar>
            <w:vAlign w:val="center"/>
          </w:tcPr>
          <w:p>
            <w:r>
              <w:t>必須</w:t>
            </w:r>
          </w:p>
        </w:tc>
        <w:tc>
          <w:tcPr>
            <w:tcW w:type="dxa" w:w="3168"/>
            <w:tcMar>
              <w:top w:w="80" w:type="dxa"/>
              <w:start w:w="120" w:type="dxa"/>
              <w:bottom w:w="80" w:type="dxa"/>
              <w:end w:w="120" w:type="dxa"/>
            </w:tcMar>
            <w:vAlign w:val="center"/>
          </w:tcPr>
          <w:p>
            <w:r>
              <w:t>SHM算出の核。</w:t>
            </w:r>
          </w:p>
        </w:tc>
        <w:tc>
          <w:tcPr>
            <w:tcW w:type="dxa" w:w="3311"/>
            <w:tcMar>
              <w:top w:w="80" w:type="dxa"/>
              <w:start w:w="120" w:type="dxa"/>
              <w:bottom w:w="80" w:type="dxa"/>
              <w:end w:w="120" w:type="dxa"/>
            </w:tcMar>
            <w:vAlign w:val="center"/>
          </w:tcPr>
          <w:p>
            <w:r>
              <w:t>列が無い場合は処理停止。数値化不可は除外。</w:t>
            </w:r>
          </w:p>
        </w:tc>
      </w:tr>
      <w:tr>
        <w:tc>
          <w:tcPr>
            <w:tcW w:type="dxa" w:w="1872"/>
            <w:tcMar>
              <w:top w:w="80" w:type="dxa"/>
              <w:start w:w="120" w:type="dxa"/>
              <w:bottom w:w="80" w:type="dxa"/>
              <w:end w:w="120" w:type="dxa"/>
            </w:tcMar>
            <w:vAlign w:val="center"/>
          </w:tcPr>
          <w:p>
            <w:r>
              <w:t>vj_in_frame</w:t>
            </w:r>
          </w:p>
        </w:tc>
        <w:tc>
          <w:tcPr>
            <w:tcW w:type="dxa" w:w="1007"/>
            <w:tcMar>
              <w:top w:w="80" w:type="dxa"/>
              <w:start w:w="120" w:type="dxa"/>
              <w:bottom w:w="80" w:type="dxa"/>
              <w:end w:w="120" w:type="dxa"/>
            </w:tcMar>
            <w:vAlign w:val="center"/>
          </w:tcPr>
          <w:p>
            <w:r>
              <w:t>任意</w:t>
            </w:r>
          </w:p>
        </w:tc>
        <w:tc>
          <w:tcPr>
            <w:tcW w:type="dxa" w:w="3168"/>
            <w:tcMar>
              <w:top w:w="80" w:type="dxa"/>
              <w:start w:w="120" w:type="dxa"/>
              <w:bottom w:w="80" w:type="dxa"/>
              <w:end w:w="120" w:type="dxa"/>
            </w:tcMar>
            <w:vAlign w:val="center"/>
          </w:tcPr>
          <w:p>
            <w:r>
              <w:t>存在する場合はTのみ採用。</w:t>
            </w:r>
          </w:p>
        </w:tc>
        <w:tc>
          <w:tcPr>
            <w:tcW w:type="dxa" w:w="3311"/>
            <w:tcMar>
              <w:top w:w="80" w:type="dxa"/>
              <w:start w:w="120" w:type="dxa"/>
              <w:bottom w:w="80" w:type="dxa"/>
              <w:end w:w="120" w:type="dxa"/>
            </w:tcMar>
            <w:vAlign w:val="center"/>
          </w:tcPr>
          <w:p>
            <w:r>
              <w:t>列が無い場合はフィルタを省略。</w:t>
            </w:r>
          </w:p>
        </w:tc>
      </w:tr>
      <w:tr>
        <w:tc>
          <w:tcPr>
            <w:tcW w:type="dxa" w:w="1872"/>
            <w:tcMar>
              <w:top w:w="80" w:type="dxa"/>
              <w:start w:w="120" w:type="dxa"/>
              <w:bottom w:w="80" w:type="dxa"/>
              <w:end w:w="120" w:type="dxa"/>
            </w:tcMar>
            <w:vAlign w:val="center"/>
          </w:tcPr>
          <w:p>
            <w:r>
              <w:t>stop_codon</w:t>
            </w:r>
          </w:p>
        </w:tc>
        <w:tc>
          <w:tcPr>
            <w:tcW w:type="dxa" w:w="1007"/>
            <w:tcMar>
              <w:top w:w="80" w:type="dxa"/>
              <w:start w:w="120" w:type="dxa"/>
              <w:bottom w:w="80" w:type="dxa"/>
              <w:end w:w="120" w:type="dxa"/>
            </w:tcMar>
            <w:vAlign w:val="center"/>
          </w:tcPr>
          <w:p>
            <w:r>
              <w:t>任意</w:t>
            </w:r>
          </w:p>
        </w:tc>
        <w:tc>
          <w:tcPr>
            <w:tcW w:type="dxa" w:w="3168"/>
            <w:tcMar>
              <w:top w:w="80" w:type="dxa"/>
              <w:start w:w="120" w:type="dxa"/>
              <w:bottom w:w="80" w:type="dxa"/>
              <w:end w:w="120" w:type="dxa"/>
            </w:tcMar>
            <w:vAlign w:val="center"/>
          </w:tcPr>
          <w:p>
            <w:r>
              <w:t>存在する場合はFのみ採用。</w:t>
            </w:r>
          </w:p>
        </w:tc>
        <w:tc>
          <w:tcPr>
            <w:tcW w:type="dxa" w:w="3311"/>
            <w:tcMar>
              <w:top w:w="80" w:type="dxa"/>
              <w:start w:w="120" w:type="dxa"/>
              <w:bottom w:w="80" w:type="dxa"/>
              <w:end w:w="120" w:type="dxa"/>
            </w:tcMar>
            <w:vAlign w:val="center"/>
          </w:tcPr>
          <w:p>
            <w:r>
              <w:t>列が無い場合はフィルタを省略。</w:t>
            </w:r>
          </w:p>
        </w:tc>
      </w:tr>
      <w:tr>
        <w:tc>
          <w:tcPr>
            <w:tcW w:type="dxa" w:w="1872"/>
            <w:tcMar>
              <w:top w:w="80" w:type="dxa"/>
              <w:start w:w="120" w:type="dxa"/>
              <w:bottom w:w="80" w:type="dxa"/>
              <w:end w:w="120" w:type="dxa"/>
            </w:tcMar>
            <w:vAlign w:val="center"/>
          </w:tcPr>
          <w:p>
            <w:r>
              <w:t>locus</w:t>
            </w:r>
          </w:p>
        </w:tc>
        <w:tc>
          <w:tcPr>
            <w:tcW w:type="dxa" w:w="1007"/>
            <w:tcMar>
              <w:top w:w="80" w:type="dxa"/>
              <w:start w:w="120" w:type="dxa"/>
              <w:bottom w:w="80" w:type="dxa"/>
              <w:end w:w="120" w:type="dxa"/>
            </w:tcMar>
            <w:vAlign w:val="center"/>
          </w:tcPr>
          <w:p>
            <w:r>
              <w:t>任意</w:t>
            </w:r>
          </w:p>
        </w:tc>
        <w:tc>
          <w:tcPr>
            <w:tcW w:type="dxa" w:w="3168"/>
            <w:tcMar>
              <w:top w:w="80" w:type="dxa"/>
              <w:start w:w="120" w:type="dxa"/>
              <w:bottom w:w="80" w:type="dxa"/>
              <w:end w:w="120" w:type="dxa"/>
            </w:tcMar>
            <w:vAlign w:val="center"/>
          </w:tcPr>
          <w:p>
            <w:r>
              <w:t>IGH判定。</w:t>
            </w:r>
          </w:p>
        </w:tc>
        <w:tc>
          <w:tcPr>
            <w:tcW w:type="dxa" w:w="3311"/>
            <w:tcMar>
              <w:top w:w="80" w:type="dxa"/>
              <w:start w:w="120" w:type="dxa"/>
              <w:bottom w:w="80" w:type="dxa"/>
              <w:end w:w="120" w:type="dxa"/>
            </w:tcMar>
            <w:vAlign w:val="center"/>
          </w:tcPr>
          <w:p>
            <w:r>
              <w:t>IGH以外は除外。空欄は保持しQCに記録。</w:t>
            </w:r>
          </w:p>
        </w:tc>
      </w:tr>
      <w:tr>
        <w:tc>
          <w:tcPr>
            <w:tcW w:type="dxa" w:w="1872"/>
            <w:tcMar>
              <w:top w:w="80" w:type="dxa"/>
              <w:start w:w="120" w:type="dxa"/>
              <w:bottom w:w="80" w:type="dxa"/>
              <w:end w:w="120" w:type="dxa"/>
            </w:tcMar>
            <w:vAlign w:val="center"/>
          </w:tcPr>
          <w:p>
            <w:r>
              <w:t>v_sequence_alignment</w:t>
            </w:r>
          </w:p>
        </w:tc>
        <w:tc>
          <w:tcPr>
            <w:tcW w:type="dxa" w:w="1007"/>
            <w:tcMar>
              <w:top w:w="80" w:type="dxa"/>
              <w:start w:w="120" w:type="dxa"/>
              <w:bottom w:w="80" w:type="dxa"/>
              <w:end w:w="120" w:type="dxa"/>
            </w:tcMar>
            <w:vAlign w:val="center"/>
          </w:tcPr>
          <w:p>
            <w:r>
              <w:t>任意</w:t>
            </w:r>
          </w:p>
        </w:tc>
        <w:tc>
          <w:tcPr>
            <w:tcW w:type="dxa" w:w="3168"/>
            <w:tcMar>
              <w:top w:w="80" w:type="dxa"/>
              <w:start w:w="120" w:type="dxa"/>
              <w:bottom w:w="80" w:type="dxa"/>
              <w:end w:w="120" w:type="dxa"/>
            </w:tcMar>
            <w:vAlign w:val="center"/>
          </w:tcPr>
          <w:p>
            <w:r>
              <w:t>V alignment長の診断と任意フィルタ。</w:t>
            </w:r>
          </w:p>
        </w:tc>
        <w:tc>
          <w:tcPr>
            <w:tcW w:type="dxa" w:w="3311"/>
            <w:tcMar>
              <w:top w:w="80" w:type="dxa"/>
              <w:start w:w="120" w:type="dxa"/>
              <w:bottom w:w="80" w:type="dxa"/>
              <w:end w:w="120" w:type="dxa"/>
            </w:tcMar>
            <w:vAlign w:val="center"/>
          </w:tcPr>
          <w:p>
            <w:r>
              <w:t>無ければv_seq_len_medianは0。</w:t>
            </w:r>
          </w:p>
        </w:tc>
      </w:tr>
    </w:tbl>
    <w:p/>
    <w:p>
      <w:pPr>
        <w:pStyle w:val="Heading1"/>
      </w:pPr>
      <w:r>
        <w:t>3. フィルタリング仕様</w:t>
      </w:r>
    </w:p>
    <w:p>
      <w:pPr>
        <w:pStyle w:val="ListNumber"/>
        <w:spacing w:after="80"/>
      </w:pPr>
      <w:r>
        <w:t>TSVヘッダを読み、必須カラム productive, junction, junction_aa, v_identity の存在を確認する。</w:t>
      </w:r>
    </w:p>
    <w:p>
      <w:pPr>
        <w:pStyle w:val="ListNumber"/>
        <w:spacing w:after="80"/>
      </w:pPr>
      <w:r>
        <w:t>locus列があり値がIGH以外の行は除外する。locus空欄は保持し、kept_empty_locusとしてQC summaryへ記録する。</w:t>
      </w:r>
    </w:p>
    <w:p>
      <w:pPr>
        <w:pStyle w:val="ListNumber"/>
        <w:spacing w:after="80"/>
      </w:pPr>
      <w:r>
        <w:t>productiveがT相当でない行を除外する。T, TRUE, 1, Y, YESを真として扱う。</w:t>
      </w:r>
    </w:p>
    <w:p>
      <w:pPr>
        <w:pStyle w:val="ListNumber"/>
        <w:spacing w:after="80"/>
      </w:pPr>
      <w:r>
        <w:t>vj_in_frame列が存在する場合、T相当でない行を除外する。</w:t>
      </w:r>
    </w:p>
    <w:p>
      <w:pPr>
        <w:pStyle w:val="ListNumber"/>
        <w:spacing w:after="80"/>
      </w:pPr>
      <w:r>
        <w:t>stop_codon列が存在する場合、T相当の行を除外する。</w:t>
      </w:r>
    </w:p>
    <w:p>
      <w:pPr>
        <w:pStyle w:val="ListNumber"/>
        <w:spacing w:after="80"/>
      </w:pPr>
      <w:r>
        <w:t>junctionが空欄、またはA/C/G/T以外を含む行を除外する。</w:t>
      </w:r>
    </w:p>
    <w:p>
      <w:pPr>
        <w:pStyle w:val="ListNumber"/>
        <w:spacing w:after="80"/>
      </w:pPr>
      <w:r>
        <w:t>junction_aaが空欄、*、X、非英字を含む行を除外する。</w:t>
      </w:r>
    </w:p>
    <w:p>
      <w:pPr>
        <w:pStyle w:val="ListNumber"/>
        <w:spacing w:after="80"/>
      </w:pPr>
      <w:r>
        <w:t>v_identityが空欄または数値化不能の行を除外する。</w:t>
      </w:r>
    </w:p>
    <w:p>
      <w:pPr>
        <w:pStyle w:val="ListNumber"/>
        <w:spacing w:after="80"/>
      </w:pPr>
      <w:r>
        <w:t>Min V alignment lengthが0より大きい場合、V alignment長が閾値未満の行を除外する。</w:t>
      </w:r>
    </w:p>
    <w:p>
      <w:pPr>
        <w:pStyle w:val="Heading1"/>
      </w:pPr>
      <w:r>
        <w:t>4. SHM計算仕様</w:t>
      </w:r>
    </w:p>
    <w:p>
      <w:r>
        <w:t>v_identityはIgBLAST/AIRR実装や出力条件により0-100の百分率または0-1の小数で出る可能性があるため、値域で自動判定する。現行実装では、v_identity &lt;= 1.2を小数スケール、それ以外を百分率スケールとして扱う。算出後のSHMが負になる場合は0に丸める。</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592"/>
            <w:shd w:fill="E8EEF5"/>
            <w:tcMar>
              <w:top w:w="80" w:type="dxa"/>
              <w:start w:w="120" w:type="dxa"/>
              <w:bottom w:w="80" w:type="dxa"/>
              <w:end w:w="120" w:type="dxa"/>
            </w:tcMar>
            <w:vAlign w:val="center"/>
          </w:tcPr>
          <w:p>
            <w:r>
              <w:rPr>
                <w:b/>
              </w:rPr>
              <w:t>v_identityの値域</w:t>
            </w:r>
          </w:p>
        </w:tc>
        <w:tc>
          <w:tcPr>
            <w:tcW w:type="dxa" w:w="3744"/>
            <w:shd w:fill="E8EEF5"/>
            <w:tcMar>
              <w:top w:w="80" w:type="dxa"/>
              <w:start w:w="120" w:type="dxa"/>
              <w:bottom w:w="80" w:type="dxa"/>
              <w:end w:w="120" w:type="dxa"/>
            </w:tcMar>
            <w:vAlign w:val="center"/>
          </w:tcPr>
          <w:p>
            <w:r>
              <w:rPr>
                <w:b/>
              </w:rPr>
              <w:t>計算式</w:t>
            </w:r>
          </w:p>
        </w:tc>
        <w:tc>
          <w:tcPr>
            <w:tcW w:type="dxa" w:w="3024"/>
            <w:shd w:fill="E8EEF5"/>
            <w:tcMar>
              <w:top w:w="80" w:type="dxa"/>
              <w:start w:w="120" w:type="dxa"/>
              <w:bottom w:w="80" w:type="dxa"/>
              <w:end w:w="120" w:type="dxa"/>
            </w:tcMar>
            <w:vAlign w:val="center"/>
          </w:tcPr>
          <w:p>
            <w:r>
              <w:rPr>
                <w:b/>
              </w:rPr>
              <w:t>例</w:t>
            </w:r>
          </w:p>
        </w:tc>
      </w:tr>
      <w:tr>
        <w:tc>
          <w:tcPr>
            <w:tcW w:type="dxa" w:w="2592"/>
            <w:tcMar>
              <w:top w:w="80" w:type="dxa"/>
              <w:start w:w="120" w:type="dxa"/>
              <w:bottom w:w="80" w:type="dxa"/>
              <w:end w:w="120" w:type="dxa"/>
            </w:tcMar>
            <w:vAlign w:val="center"/>
          </w:tcPr>
          <w:p>
            <w:r>
              <w:t>0-100スケール</w:t>
            </w:r>
          </w:p>
        </w:tc>
        <w:tc>
          <w:tcPr>
            <w:tcW w:type="dxa" w:w="3744"/>
            <w:tcMar>
              <w:top w:w="80" w:type="dxa"/>
              <w:start w:w="120" w:type="dxa"/>
              <w:bottom w:w="80" w:type="dxa"/>
              <w:end w:w="120" w:type="dxa"/>
            </w:tcMar>
            <w:vAlign w:val="center"/>
          </w:tcPr>
          <w:p>
            <w:r>
              <w:t>SHM(%) = 100 - v_identity</w:t>
            </w:r>
          </w:p>
        </w:tc>
        <w:tc>
          <w:tcPr>
            <w:tcW w:type="dxa" w:w="3024"/>
            <w:tcMar>
              <w:top w:w="80" w:type="dxa"/>
              <w:start w:w="120" w:type="dxa"/>
              <w:bottom w:w="80" w:type="dxa"/>
              <w:end w:w="120" w:type="dxa"/>
            </w:tcMar>
            <w:vAlign w:val="center"/>
          </w:tcPr>
          <w:p>
            <w:r>
              <w:t>v_identity=92.5 -&gt; SHM=7.5%</w:t>
            </w:r>
          </w:p>
        </w:tc>
      </w:tr>
      <w:tr>
        <w:tc>
          <w:tcPr>
            <w:tcW w:type="dxa" w:w="2592"/>
            <w:tcMar>
              <w:top w:w="80" w:type="dxa"/>
              <w:start w:w="120" w:type="dxa"/>
              <w:bottom w:w="80" w:type="dxa"/>
              <w:end w:w="120" w:type="dxa"/>
            </w:tcMar>
            <w:vAlign w:val="center"/>
          </w:tcPr>
          <w:p>
            <w:r>
              <w:t>0-1スケール</w:t>
            </w:r>
          </w:p>
        </w:tc>
        <w:tc>
          <w:tcPr>
            <w:tcW w:type="dxa" w:w="3744"/>
            <w:tcMar>
              <w:top w:w="80" w:type="dxa"/>
              <w:start w:w="120" w:type="dxa"/>
              <w:bottom w:w="80" w:type="dxa"/>
              <w:end w:w="120" w:type="dxa"/>
            </w:tcMar>
            <w:vAlign w:val="center"/>
          </w:tcPr>
          <w:p>
            <w:r>
              <w:t>SHM(%) = (1 - v_identity) * 100</w:t>
            </w:r>
          </w:p>
        </w:tc>
        <w:tc>
          <w:tcPr>
            <w:tcW w:type="dxa" w:w="3024"/>
            <w:tcMar>
              <w:top w:w="80" w:type="dxa"/>
              <w:start w:w="120" w:type="dxa"/>
              <w:bottom w:w="80" w:type="dxa"/>
              <w:end w:w="120" w:type="dxa"/>
            </w:tcMar>
            <w:vAlign w:val="center"/>
          </w:tcPr>
          <w:p>
            <w:r>
              <w:t>v_identity=0.925 -&gt; SHM=7.5%</w:t>
            </w:r>
          </w:p>
        </w:tc>
      </w:tr>
    </w:tbl>
    <w:p/>
    <w:p>
      <w:pPr>
        <w:pStyle w:val="Heading1"/>
      </w:pPr>
      <w:r>
        <w:t>5. 集約仕様</w:t>
      </w:r>
    </w:p>
    <w:p>
      <w:r>
        <w:t>フィルタ後のreadをjunction(nt)完全一致でグループ化する。各junctionグループ内のreadごとのSHM値から中央値を計算し、その値をunique junction(nt)点のshm_medianとする。平均ではなく中央値を採用する理由は、同一junction内に少数の外れ値やアラインメント由来のばらつきがある場合でも、代表値を安定させるためである。</w:t>
      </w:r>
    </w:p>
    <w:tbl>
      <w:tblPr>
        <w:tblStyle w:val="TableGrid"/>
        <w:tblW w:type="auto" w:w="0"/>
        <w:jc w:val="left"/>
        <w:tblLayout w:type="fixed"/>
        <w:tblLook w:firstColumn="1" w:firstRow="1" w:lastColumn="0" w:lastRow="0" w:noHBand="0" w:noVBand="1" w:val="04A0"/>
      </w:tblPr>
      <w:tblGrid>
        <w:gridCol w:w="4680"/>
        <w:gridCol w:w="4680"/>
      </w:tblGrid>
      <w:tr>
        <w:tc>
          <w:tcPr>
            <w:tcW w:type="dxa" w:w="2592"/>
            <w:shd w:fill="E8EEF5"/>
            <w:tcMar>
              <w:top w:w="80" w:type="dxa"/>
              <w:start w:w="120" w:type="dxa"/>
              <w:bottom w:w="80" w:type="dxa"/>
              <w:end w:w="120" w:type="dxa"/>
            </w:tcMar>
            <w:vAlign w:val="center"/>
          </w:tcPr>
          <w:p>
            <w:r>
              <w:rPr>
                <w:b/>
              </w:rPr>
              <w:t>出力列/値</w:t>
            </w:r>
          </w:p>
        </w:tc>
        <w:tc>
          <w:tcPr>
            <w:tcW w:type="dxa" w:w="6768"/>
            <w:shd w:fill="E8EEF5"/>
            <w:tcMar>
              <w:top w:w="80" w:type="dxa"/>
              <w:start w:w="120" w:type="dxa"/>
              <w:bottom w:w="80" w:type="dxa"/>
              <w:end w:w="120" w:type="dxa"/>
            </w:tcMar>
            <w:vAlign w:val="center"/>
          </w:tcPr>
          <w:p>
            <w:r>
              <w:rPr>
                <w:b/>
              </w:rPr>
              <w:t>意味</w:t>
            </w:r>
          </w:p>
        </w:tc>
      </w:tr>
      <w:tr>
        <w:tc>
          <w:tcPr>
            <w:tcW w:type="dxa" w:w="2592"/>
            <w:tcMar>
              <w:top w:w="80" w:type="dxa"/>
              <w:start w:w="120" w:type="dxa"/>
              <w:bottom w:w="80" w:type="dxa"/>
              <w:end w:w="120" w:type="dxa"/>
            </w:tcMar>
            <w:vAlign w:val="center"/>
          </w:tcPr>
          <w:p>
            <w:r>
              <w:t>junction_nt</w:t>
            </w:r>
          </w:p>
        </w:tc>
        <w:tc>
          <w:tcPr>
            <w:tcW w:type="dxa" w:w="6768"/>
            <w:tcMar>
              <w:top w:w="80" w:type="dxa"/>
              <w:start w:w="120" w:type="dxa"/>
              <w:bottom w:w="80" w:type="dxa"/>
              <w:end w:w="120" w:type="dxa"/>
            </w:tcMar>
            <w:vAlign w:val="center"/>
          </w:tcPr>
          <w:p>
            <w:r>
              <w:t>グループキー。AIRR TSVのjunction列。</w:t>
            </w:r>
          </w:p>
        </w:tc>
      </w:tr>
      <w:tr>
        <w:tc>
          <w:tcPr>
            <w:tcW w:type="dxa" w:w="2592"/>
            <w:tcMar>
              <w:top w:w="80" w:type="dxa"/>
              <w:start w:w="120" w:type="dxa"/>
              <w:bottom w:w="80" w:type="dxa"/>
              <w:end w:w="120" w:type="dxa"/>
            </w:tcMar>
            <w:vAlign w:val="center"/>
          </w:tcPr>
          <w:p>
            <w:r>
              <w:t>shm_median</w:t>
            </w:r>
          </w:p>
        </w:tc>
        <w:tc>
          <w:tcPr>
            <w:tcW w:type="dxa" w:w="6768"/>
            <w:tcMar>
              <w:top w:w="80" w:type="dxa"/>
              <w:start w:w="120" w:type="dxa"/>
              <w:bottom w:w="80" w:type="dxa"/>
              <w:end w:w="120" w:type="dxa"/>
            </w:tcMar>
            <w:vAlign w:val="center"/>
          </w:tcPr>
          <w:p>
            <w:r>
              <w:t>同じjunction_ntに属するreadのSHM中央値。</w:t>
            </w:r>
          </w:p>
        </w:tc>
      </w:tr>
      <w:tr>
        <w:tc>
          <w:tcPr>
            <w:tcW w:type="dxa" w:w="2592"/>
            <w:tcMar>
              <w:top w:w="80" w:type="dxa"/>
              <w:start w:w="120" w:type="dxa"/>
              <w:bottom w:w="80" w:type="dxa"/>
              <w:end w:w="120" w:type="dxa"/>
            </w:tcMar>
            <w:vAlign w:val="center"/>
          </w:tcPr>
          <w:p>
            <w:r>
              <w:t>read_count</w:t>
            </w:r>
          </w:p>
        </w:tc>
        <w:tc>
          <w:tcPr>
            <w:tcW w:type="dxa" w:w="6768"/>
            <w:tcMar>
              <w:top w:w="80" w:type="dxa"/>
              <w:start w:w="120" w:type="dxa"/>
              <w:bottom w:w="80" w:type="dxa"/>
              <w:end w:w="120" w:type="dxa"/>
            </w:tcMar>
            <w:vAlign w:val="center"/>
          </w:tcPr>
          <w:p>
            <w:r>
              <w:t>同じjunction_ntに属するread数。</w:t>
            </w:r>
          </w:p>
        </w:tc>
      </w:tr>
      <w:tr>
        <w:tc>
          <w:tcPr>
            <w:tcW w:type="dxa" w:w="2592"/>
            <w:tcMar>
              <w:top w:w="80" w:type="dxa"/>
              <w:start w:w="120" w:type="dxa"/>
              <w:bottom w:w="80" w:type="dxa"/>
              <w:end w:w="120" w:type="dxa"/>
            </w:tcMar>
            <w:vAlign w:val="center"/>
          </w:tcPr>
          <w:p>
            <w:r>
              <w:t>v_seq_len_median</w:t>
            </w:r>
          </w:p>
        </w:tc>
        <w:tc>
          <w:tcPr>
            <w:tcW w:type="dxa" w:w="6768"/>
            <w:tcMar>
              <w:top w:w="80" w:type="dxa"/>
              <w:start w:w="120" w:type="dxa"/>
              <w:bottom w:w="80" w:type="dxa"/>
              <w:end w:w="120" w:type="dxa"/>
            </w:tcMar>
            <w:vAlign w:val="center"/>
          </w:tcPr>
          <w:p>
            <w:r>
              <w:t>V alignment長の中央値。V配列が短い点の診断に使う。</w:t>
            </w:r>
          </w:p>
        </w:tc>
      </w:tr>
    </w:tbl>
    <w:p/>
    <w:p>
      <w:pPr>
        <w:pStyle w:val="Heading1"/>
      </w:pPr>
      <w:r>
        <w:t>6. SHM histogram仕様</w:t>
      </w:r>
    </w:p>
    <w:tbl>
      <w:tblPr>
        <w:tblStyle w:val="TableGrid"/>
        <w:tblW w:type="auto" w:w="0"/>
        <w:jc w:val="left"/>
        <w:tblLayout w:type="fixed"/>
        <w:tblLook w:firstColumn="1" w:firstRow="1" w:lastColumn="0" w:lastRow="0" w:noHBand="0" w:noVBand="1" w:val="04A0"/>
      </w:tblPr>
      <w:tblGrid>
        <w:gridCol w:w="4680"/>
        <w:gridCol w:w="4680"/>
      </w:tblGrid>
      <w:tr>
        <w:tc>
          <w:tcPr>
            <w:tcW w:type="dxa" w:w="2448"/>
            <w:shd w:fill="E8EEF5"/>
            <w:tcMar>
              <w:top w:w="80" w:type="dxa"/>
              <w:start w:w="120" w:type="dxa"/>
              <w:bottom w:w="80" w:type="dxa"/>
              <w:end w:w="120" w:type="dxa"/>
            </w:tcMar>
            <w:vAlign w:val="center"/>
          </w:tcPr>
          <w:p>
            <w:r>
              <w:rPr>
                <w:b/>
              </w:rPr>
              <w:t>項目</w:t>
            </w:r>
          </w:p>
        </w:tc>
        <w:tc>
          <w:tcPr>
            <w:tcW w:type="dxa" w:w="6912"/>
            <w:shd w:fill="E8EEF5"/>
            <w:tcMar>
              <w:top w:w="80" w:type="dxa"/>
              <w:start w:w="120" w:type="dxa"/>
              <w:bottom w:w="80" w:type="dxa"/>
              <w:end w:w="120" w:type="dxa"/>
            </w:tcMar>
            <w:vAlign w:val="center"/>
          </w:tcPr>
          <w:p>
            <w:r>
              <w:rPr>
                <w:b/>
              </w:rPr>
              <w:t>仕様</w:t>
            </w:r>
          </w:p>
        </w:tc>
      </w:tr>
      <w:tr>
        <w:tc>
          <w:tcPr>
            <w:tcW w:type="dxa" w:w="2448"/>
            <w:tcMar>
              <w:top w:w="80" w:type="dxa"/>
              <w:start w:w="120" w:type="dxa"/>
              <w:bottom w:w="80" w:type="dxa"/>
              <w:end w:w="120" w:type="dxa"/>
            </w:tcMar>
            <w:vAlign w:val="center"/>
          </w:tcPr>
          <w:p>
            <w:r>
              <w:t>入力点</w:t>
            </w:r>
          </w:p>
        </w:tc>
        <w:tc>
          <w:tcPr>
            <w:tcW w:type="dxa" w:w="6912"/>
            <w:tcMar>
              <w:top w:w="80" w:type="dxa"/>
              <w:start w:w="120" w:type="dxa"/>
              <w:bottom w:w="80" w:type="dxa"/>
              <w:end w:w="120" w:type="dxa"/>
            </w:tcMar>
            <w:vAlign w:val="center"/>
          </w:tcPr>
          <w:p>
            <w:r>
              <w:t>&lt;sample&gt;_pgen_shm_points.tsv相当のunique junction(nt)点。</w:t>
            </w:r>
          </w:p>
        </w:tc>
      </w:tr>
      <w:tr>
        <w:tc>
          <w:tcPr>
            <w:tcW w:type="dxa" w:w="2448"/>
            <w:tcMar>
              <w:top w:w="80" w:type="dxa"/>
              <w:start w:w="120" w:type="dxa"/>
              <w:bottom w:w="80" w:type="dxa"/>
              <w:end w:w="120" w:type="dxa"/>
            </w:tcMar>
            <w:vAlign w:val="center"/>
          </w:tcPr>
          <w:p>
            <w:r>
              <w:t>bin幅</w:t>
            </w:r>
          </w:p>
        </w:tc>
        <w:tc>
          <w:tcPr>
            <w:tcW w:type="dxa" w:w="6912"/>
            <w:tcMar>
              <w:top w:w="80" w:type="dxa"/>
              <w:start w:w="120" w:type="dxa"/>
              <w:bottom w:w="80" w:type="dxa"/>
              <w:end w:w="120" w:type="dxa"/>
            </w:tcMar>
            <w:vAlign w:val="center"/>
          </w:tcPr>
          <w:p>
            <w:r>
              <w:t>2%刻み。0~2%, 2~4%, ..., 18~20%, 20~%。</w:t>
            </w:r>
          </w:p>
        </w:tc>
      </w:tr>
      <w:tr>
        <w:tc>
          <w:tcPr>
            <w:tcW w:type="dxa" w:w="2448"/>
            <w:tcMar>
              <w:top w:w="80" w:type="dxa"/>
              <w:start w:w="120" w:type="dxa"/>
              <w:bottom w:w="80" w:type="dxa"/>
              <w:end w:w="120" w:type="dxa"/>
            </w:tcMar>
            <w:vAlign w:val="center"/>
          </w:tcPr>
          <w:p>
            <w:r>
              <w:t>count</w:t>
            </w:r>
          </w:p>
        </w:tc>
        <w:tc>
          <w:tcPr>
            <w:tcW w:type="dxa" w:w="6912"/>
            <w:tcMar>
              <w:top w:w="80" w:type="dxa"/>
              <w:start w:w="120" w:type="dxa"/>
              <w:bottom w:w="80" w:type="dxa"/>
              <w:end w:w="120" w:type="dxa"/>
            </w:tcMar>
            <w:vAlign w:val="center"/>
          </w:tcPr>
          <w:p>
            <w:r>
              <w:t>各binに入るunique junction(nt)点数。read数ではない。</w:t>
            </w:r>
          </w:p>
        </w:tc>
      </w:tr>
      <w:tr>
        <w:tc>
          <w:tcPr>
            <w:tcW w:type="dxa" w:w="2448"/>
            <w:tcMar>
              <w:top w:w="80" w:type="dxa"/>
              <w:start w:w="120" w:type="dxa"/>
              <w:bottom w:w="80" w:type="dxa"/>
              <w:end w:w="120" w:type="dxa"/>
            </w:tcMar>
            <w:vAlign w:val="center"/>
          </w:tcPr>
          <w:p>
            <w:r>
              <w:t>fraction</w:t>
            </w:r>
          </w:p>
        </w:tc>
        <w:tc>
          <w:tcPr>
            <w:tcW w:type="dxa" w:w="6912"/>
            <w:tcMar>
              <w:top w:w="80" w:type="dxa"/>
              <w:start w:w="120" w:type="dxa"/>
              <w:bottom w:w="80" w:type="dxa"/>
              <w:end w:w="120" w:type="dxa"/>
            </w:tcMar>
            <w:vAlign w:val="center"/>
          </w:tcPr>
          <w:p>
            <w:r>
              <w:t>count / 全unique junction(nt)点数。</w:t>
            </w:r>
          </w:p>
        </w:tc>
      </w:tr>
      <w:tr>
        <w:tc>
          <w:tcPr>
            <w:tcW w:type="dxa" w:w="2448"/>
            <w:tcMar>
              <w:top w:w="80" w:type="dxa"/>
              <w:start w:w="120" w:type="dxa"/>
              <w:bottom w:w="80" w:type="dxa"/>
              <w:end w:w="120" w:type="dxa"/>
            </w:tcMar>
            <w:vAlign w:val="center"/>
          </w:tcPr>
          <w:p>
            <w:r>
              <w:t>図</w:t>
            </w:r>
          </w:p>
        </w:tc>
        <w:tc>
          <w:tcPr>
            <w:tcW w:type="dxa" w:w="6912"/>
            <w:tcMar>
              <w:top w:w="80" w:type="dxa"/>
              <w:start w:w="120" w:type="dxa"/>
              <w:bottom w:w="80" w:type="dxa"/>
              <w:end w:w="120" w:type="dxa"/>
            </w:tcMar>
            <w:vAlign w:val="center"/>
          </w:tcPr>
          <w:p>
            <w:r>
              <w:t>横棒グラフ。x軸Frequency、y軸%Mutation。</w:t>
            </w:r>
          </w:p>
        </w:tc>
      </w:tr>
    </w:tbl>
    <w:p/>
    <w:p>
      <w:pPr>
        <w:pStyle w:val="Heading1"/>
      </w:pPr>
      <w:r>
        <w:t>7. QCと解釈上の注意</w:t>
      </w:r>
    </w:p>
    <w:p>
      <w:pPr>
        <w:pStyle w:val="ListBullet"/>
        <w:spacing w:after="80"/>
      </w:pPr>
      <w:r>
        <w:t>SHMはv_identity由来であり、V alignmentが短いreadでは不安定になる可能性がある。</w:t>
      </w:r>
    </w:p>
    <w:p>
      <w:pPr>
        <w:pStyle w:val="ListBullet"/>
        <w:spacing w:after="80"/>
      </w:pPr>
      <w:r>
        <w:t>初期設定ではV alignment長による除外は行わない。v_seq_len_medianを確認して必要時のみ閾値を設定する。</w:t>
      </w:r>
    </w:p>
    <w:p>
      <w:pPr>
        <w:pStyle w:val="ListBullet"/>
        <w:spacing w:after="80"/>
      </w:pPr>
      <w:r>
        <w:t>SHM histogramはread-weightedではなくunique junction(nt)単位の分布である。</w:t>
      </w:r>
    </w:p>
    <w:p>
      <w:pPr>
        <w:pStyle w:val="ListBullet"/>
        <w:spacing w:after="80"/>
      </w:pPr>
      <w:r>
        <w:t>SHM=0付近の点が多い場合は、v_seq_len_median、read_count、V/J遺伝子使用、入力TSVのlocusを確認する。</w:t>
      </w:r>
    </w:p>
    <w:p>
      <w:pPr>
        <w:pStyle w:val="ListBullet"/>
        <w:spacing w:after="80"/>
      </w:pPr>
      <w:r>
        <w:t>counts TSVやExcel集計は入力対象ではない。必ずIgBLAST AIRR outfmt19 TSVを用いる。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RG AIRR TSV pGen-SHM plot specifications | 2026-06-07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