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Yu Gothic" w:hAnsi="Yu Gothic"/>
          <w:b/>
          <w:sz w:val="36"/>
        </w:rPr>
        <w:t>TSVからSHMデータ作成仕様書</w:t>
      </w:r>
    </w:p>
    <w:p>
      <w:pPr>
        <w:jc w:val="center"/>
      </w:pPr>
      <w:r>
        <w:rPr>
          <w:rFonts w:ascii="Yu Gothic" w:hAnsi="Yu Gothic"/>
          <w:sz w:val="20"/>
        </w:rPr>
        <w:t>対象: IgBLAST AIRR outfmt 19 TSV -&gt; row-level SHM data / SHM histogram</w:t>
      </w:r>
    </w:p>
    <w:p>
      <w:pPr>
        <w:pStyle w:val="Heading1"/>
      </w:pPr>
      <w:r>
        <w:t>1. 目的</w:t>
      </w:r>
    </w:p>
    <w:p>
      <w:r>
        <w:t>本仕様書は、IgBLAST outfmt 19のAIRR TSVからSHMデータを作成する処理を定義する。現行仕様では、フィルタ後のAIRR各行、すなわちsequence_idごとに1つのSHM値を計算し、pGen-SHM plotの縦軸およびSHM分布図の入力として用いる。</w:t>
      </w:r>
    </w:p>
    <w:p>
      <w:pPr>
        <w:pStyle w:val="Heading1"/>
      </w:pPr>
      <w:r>
        <w:t>2. フィルタリング仕様</w:t>
      </w:r>
    </w:p>
    <w:p>
      <w:pPr>
        <w:pStyle w:val="ListBullet"/>
      </w:pPr>
      <w:r>
        <w:t>入力は IgBLAST AIRR outfmt 19 TSV とする。FASTAは本ソフトでは直接読まず、前段でAIRR TSVへ変換済みであることを前提とする。</w:t>
      </w:r>
    </w:p>
    <w:p>
      <w:pPr>
        <w:pStyle w:val="ListBullet"/>
      </w:pPr>
      <w:r>
        <w:t>必須列 productive, junction, junction_aa, v_identity の存在を確認する。sequence_id は出力列として使用し、欠損時は row_&lt;入力行番号&gt; で補完してQCに記録する。</w:t>
      </w:r>
    </w:p>
    <w:p>
      <w:pPr>
        <w:pStyle w:val="ListBullet"/>
      </w:pPr>
      <w:r>
        <w:t>locus列があり値がIGH以外の行は除外する。locus空欄は保持し、kept_empty_locusとしてQC summaryへ記録する。</w:t>
      </w:r>
    </w:p>
    <w:p>
      <w:pPr>
        <w:pStyle w:val="ListBullet"/>
      </w:pPr>
      <w:r>
        <w:t>productive が T, TRUE, 1, Y, YES のいずれにも該当しない行は除外する。</w:t>
      </w:r>
    </w:p>
    <w:p>
      <w:pPr>
        <w:pStyle w:val="ListBullet"/>
      </w:pPr>
      <w:r>
        <w:t>vj_in_frame列が存在する場合、T相当でない行を除外する。</w:t>
      </w:r>
    </w:p>
    <w:p>
      <w:pPr>
        <w:pStyle w:val="ListBullet"/>
      </w:pPr>
      <w:r>
        <w:t>stop_codon列が存在する場合、T相当の行を除外する。</w:t>
      </w:r>
    </w:p>
    <w:p>
      <w:pPr>
        <w:pStyle w:val="ListBullet"/>
      </w:pPr>
      <w:r>
        <w:t>junction が空欄、または A/C/G/T 以外を含む行を除外する。</w:t>
      </w:r>
    </w:p>
    <w:p>
      <w:pPr>
        <w:pStyle w:val="ListBullet"/>
      </w:pPr>
      <w:r>
        <w:t>junction_aa が空欄、*、X、非英字を含む行を除外する。</w:t>
      </w:r>
    </w:p>
    <w:p>
      <w:pPr>
        <w:pStyle w:val="ListBullet"/>
      </w:pPr>
      <w:r>
        <w:t>v_identity が空欄または数値化不能の行を除外する。</w:t>
      </w:r>
    </w:p>
    <w:p>
      <w:pPr>
        <w:pStyle w:val="ListBullet"/>
      </w:pPr>
      <w:r>
        <w:t>Min V alignment length が0より大きい場合、V alignment長が閾値未満の行を除外する。</w:t>
      </w:r>
    </w:p>
    <w:p>
      <w:pPr>
        <w:pStyle w:val="Heading1"/>
      </w:pPr>
      <w:r>
        <w:t>3. SHM計算仕様</w:t>
      </w:r>
    </w:p>
    <w:p>
      <w:pPr>
        <w:pStyle w:val="ListBullet"/>
      </w:pPr>
      <w:r>
        <w:t>SHMは各採用行の v_identity から計算する。</w:t>
      </w:r>
    </w:p>
    <w:p>
      <w:pPr>
        <w:pStyle w:val="ListBullet"/>
      </w:pPr>
      <w:r>
        <w:t>v_identity &lt;= 1.2 の場合は0-1スケールとみなし、SHM = (1 - v_identity) * 100 とする。</w:t>
      </w:r>
    </w:p>
    <w:p>
      <w:pPr>
        <w:pStyle w:val="ListBullet"/>
      </w:pPr>
      <w:r>
        <w:t>v_identity &gt; 1.2 の場合は0-100スケールとみなし、SHM = 100 - v_identity とする。</w:t>
      </w:r>
    </w:p>
    <w:p>
      <w:pPr>
        <w:pStyle w:val="ListBullet"/>
      </w:pPr>
      <w:r>
        <w:t>計算結果が負になる場合は0に丸める。</w:t>
      </w:r>
    </w:p>
    <w:p>
      <w:pPr>
        <w:pStyle w:val="ListBullet"/>
      </w:pPr>
      <w:r>
        <w:t>IgBLAST出力例では v_identity は小数3桁であり、SHMも実質的に小数3桁相当の分解能を持つ。</w:t>
      </w:r>
    </w:p>
    <w:p>
      <w:pPr>
        <w:pStyle w:val="Heading1"/>
      </w:pPr>
      <w:r>
        <w:t>4. 中間Excel出力</w:t>
      </w:r>
    </w:p>
    <w:p>
      <w:r>
        <w:t>採用されたAIRR各行のみを、row-level中間Excelとして出力する。フィルタで除外された行はExcelに含めない。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列名</w:t>
            </w:r>
          </w:p>
        </w:tc>
        <w:tc>
          <w:tcPr>
            <w:tcW w:type="dxa" w:w="2880"/>
          </w:tcPr>
          <w:p>
            <w:r>
              <w:t>区分</w:t>
            </w:r>
          </w:p>
        </w:tc>
        <w:tc>
          <w:tcPr>
            <w:tcW w:type="dxa" w:w="2880"/>
          </w:tcPr>
          <w:p>
            <w:r>
              <w:t>説明</w:t>
            </w:r>
          </w:p>
        </w:tc>
      </w:tr>
      <w:tr>
        <w:tc>
          <w:tcPr>
            <w:tcW w:type="dxa" w:w="2880"/>
          </w:tcPr>
          <w:p>
            <w:r>
              <w:t>sequence_id</w:t>
            </w:r>
          </w:p>
        </w:tc>
        <w:tc>
          <w:tcPr>
            <w:tcW w:type="dxa" w:w="2880"/>
          </w:tcPr>
          <w:p>
            <w:r>
              <w:t>必要データ</w:t>
            </w:r>
          </w:p>
        </w:tc>
        <w:tc>
          <w:tcPr>
            <w:tcW w:type="dxa" w:w="2880"/>
          </w:tcPr>
          <w:p>
            <w:r>
              <w:t>AIRR TSVのsequence_id。欠損時は row_&lt;入力行番号&gt; で補完する。</w:t>
            </w:r>
          </w:p>
        </w:tc>
      </w:tr>
      <w:tr>
        <w:tc>
          <w:tcPr>
            <w:tcW w:type="dxa" w:w="2880"/>
          </w:tcPr>
          <w:p>
            <w:r>
              <w:t>junction_aa</w:t>
            </w:r>
          </w:p>
        </w:tc>
        <w:tc>
          <w:tcPr>
            <w:tcW w:type="dxa" w:w="2880"/>
          </w:tcPr>
          <w:p>
            <w:r>
              <w:t>必要データ</w:t>
            </w:r>
          </w:p>
        </w:tc>
        <w:tc>
          <w:tcPr>
            <w:tcW w:type="dxa" w:w="2880"/>
          </w:tcPr>
          <w:p>
            <w:r>
              <w:t>pGen計算に使用するCDR3アミノ酸配列。</w:t>
            </w:r>
          </w:p>
        </w:tc>
      </w:tr>
      <w:tr>
        <w:tc>
          <w:tcPr>
            <w:tcW w:type="dxa" w:w="2880"/>
          </w:tcPr>
          <w:p>
            <w:r>
              <w:t>shm</w:t>
            </w:r>
          </w:p>
        </w:tc>
        <w:tc>
          <w:tcPr>
            <w:tcW w:type="dxa" w:w="2880"/>
          </w:tcPr>
          <w:p>
            <w:r>
              <w:t>必要データ</w:t>
            </w:r>
          </w:p>
        </w:tc>
        <w:tc>
          <w:tcPr>
            <w:tcW w:type="dxa" w:w="2880"/>
          </w:tcPr>
          <w:p>
            <w:r>
              <w:t>その行のv_identityから計算したSHM値。</w:t>
            </w:r>
          </w:p>
        </w:tc>
      </w:tr>
      <w:tr>
        <w:tc>
          <w:tcPr>
            <w:tcW w:type="dxa" w:w="2880"/>
          </w:tcPr>
          <w:p>
            <w:r>
              <w:t>pgen</w:t>
            </w:r>
          </w:p>
        </w:tc>
        <w:tc>
          <w:tcPr>
            <w:tcW w:type="dxa" w:w="2880"/>
          </w:tcPr>
          <w:p>
            <w:r>
              <w:t>必要データ</w:t>
            </w:r>
          </w:p>
        </w:tc>
        <w:tc>
          <w:tcPr>
            <w:tcW w:type="dxa" w:w="2880"/>
          </w:tcPr>
          <w:p>
            <w:r>
              <w:t>その行のjunction_aaに対応するpGen値。SHM仕様書では参照列。</w:t>
            </w:r>
          </w:p>
        </w:tc>
      </w:tr>
      <w:tr>
        <w:tc>
          <w:tcPr>
            <w:tcW w:type="dxa" w:w="2880"/>
          </w:tcPr>
          <w:p>
            <w:r>
              <w:t>log10_pgen</w:t>
            </w:r>
          </w:p>
        </w:tc>
        <w:tc>
          <w:tcPr>
            <w:tcW w:type="dxa" w:w="2880"/>
          </w:tcPr>
          <w:p>
            <w:r>
              <w:t>必要データ</w:t>
            </w:r>
          </w:p>
        </w:tc>
        <w:tc>
          <w:tcPr>
            <w:tcW w:type="dxa" w:w="2880"/>
          </w:tcPr>
          <w:p>
            <w:r>
              <w:t>pGen&gt;0の場合のlog10(pGen)。SHM仕様書では参照列。</w:t>
            </w:r>
          </w:p>
        </w:tc>
      </w:tr>
      <w:tr>
        <w:tc>
          <w:tcPr>
            <w:tcW w:type="dxa" w:w="2880"/>
          </w:tcPr>
          <w:p>
            <w:r>
              <w:t>junction</w:t>
            </w:r>
          </w:p>
        </w:tc>
        <w:tc>
          <w:tcPr>
            <w:tcW w:type="dxa" w:w="2880"/>
          </w:tcPr>
          <w:p>
            <w:r>
              <w:t>参考データ</w:t>
            </w:r>
          </w:p>
        </w:tc>
        <w:tc>
          <w:tcPr>
            <w:tcW w:type="dxa" w:w="2880"/>
          </w:tcPr>
          <w:p>
            <w:r>
              <w:t>CDR3塩基配列。</w:t>
            </w:r>
          </w:p>
        </w:tc>
      </w:tr>
      <w:tr>
        <w:tc>
          <w:tcPr>
            <w:tcW w:type="dxa" w:w="2880"/>
          </w:tcPr>
          <w:p>
            <w:r>
              <w:t>v_identity</w:t>
            </w:r>
          </w:p>
        </w:tc>
        <w:tc>
          <w:tcPr>
            <w:tcW w:type="dxa" w:w="2880"/>
          </w:tcPr>
          <w:p>
            <w:r>
              <w:t>参考データ</w:t>
            </w:r>
          </w:p>
        </w:tc>
        <w:tc>
          <w:tcPr>
            <w:tcW w:type="dxa" w:w="2880"/>
          </w:tcPr>
          <w:p>
            <w:r>
              <w:t>SHM計算元のV identity値。</w:t>
            </w:r>
          </w:p>
        </w:tc>
      </w:tr>
      <w:tr>
        <w:tc>
          <w:tcPr>
            <w:tcW w:type="dxa" w:w="2880"/>
          </w:tcPr>
          <w:p>
            <w:r>
              <w:t>locus</w:t>
            </w:r>
          </w:p>
        </w:tc>
        <w:tc>
          <w:tcPr>
            <w:tcW w:type="dxa" w:w="2880"/>
          </w:tcPr>
          <w:p>
            <w:r>
              <w:t>参考データ</w:t>
            </w:r>
          </w:p>
        </w:tc>
        <w:tc>
          <w:tcPr>
            <w:tcW w:type="dxa" w:w="2880"/>
          </w:tcPr>
          <w:p>
            <w:r>
              <w:t>IGH判定およびQC確認用。</w:t>
            </w:r>
          </w:p>
        </w:tc>
      </w:tr>
      <w:tr>
        <w:tc>
          <w:tcPr>
            <w:tcW w:type="dxa" w:w="2880"/>
          </w:tcPr>
          <w:p>
            <w:r>
              <w:t>productive</w:t>
            </w:r>
          </w:p>
        </w:tc>
        <w:tc>
          <w:tcPr>
            <w:tcW w:type="dxa" w:w="2880"/>
          </w:tcPr>
          <w:p>
            <w:r>
              <w:t>参考データ</w:t>
            </w:r>
          </w:p>
        </w:tc>
        <w:tc>
          <w:tcPr>
            <w:tcW w:type="dxa" w:w="2880"/>
          </w:tcPr>
          <w:p>
            <w:r>
              <w:t>productiveフィルタ確認用。</w:t>
            </w:r>
          </w:p>
        </w:tc>
      </w:tr>
      <w:tr>
        <w:tc>
          <w:tcPr>
            <w:tcW w:type="dxa" w:w="2880"/>
          </w:tcPr>
          <w:p>
            <w:r>
              <w:t>v_call</w:t>
            </w:r>
          </w:p>
        </w:tc>
        <w:tc>
          <w:tcPr>
            <w:tcW w:type="dxa" w:w="2880"/>
          </w:tcPr>
          <w:p>
            <w:r>
              <w:t>参考データ</w:t>
            </w:r>
          </w:p>
        </w:tc>
        <w:tc>
          <w:tcPr>
            <w:tcW w:type="dxa" w:w="2880"/>
          </w:tcPr>
          <w:p>
            <w:r>
              <w:t>pGen計算には使わないが、解釈/QCに利用する。</w:t>
            </w:r>
          </w:p>
        </w:tc>
      </w:tr>
      <w:tr>
        <w:tc>
          <w:tcPr>
            <w:tcW w:type="dxa" w:w="2880"/>
          </w:tcPr>
          <w:p>
            <w:r>
              <w:t>j_call</w:t>
            </w:r>
          </w:p>
        </w:tc>
        <w:tc>
          <w:tcPr>
            <w:tcW w:type="dxa" w:w="2880"/>
          </w:tcPr>
          <w:p>
            <w:r>
              <w:t>参考データ</w:t>
            </w:r>
          </w:p>
        </w:tc>
        <w:tc>
          <w:tcPr>
            <w:tcW w:type="dxa" w:w="2880"/>
          </w:tcPr>
          <w:p>
            <w:r>
              <w:t>pGen計算には使わないが、解釈/QCに利用する。</w:t>
            </w:r>
          </w:p>
        </w:tc>
      </w:tr>
      <w:tr>
        <w:tc>
          <w:tcPr>
            <w:tcW w:type="dxa" w:w="2880"/>
          </w:tcPr>
          <w:p>
            <w:r>
              <w:t>same_xy_count</w:t>
            </w:r>
          </w:p>
        </w:tc>
        <w:tc>
          <w:tcPr>
            <w:tcW w:type="dxa" w:w="2880"/>
          </w:tcPr>
          <w:p>
            <w:r>
              <w:t>描画補助</w:t>
            </w:r>
          </w:p>
        </w:tc>
        <w:tc>
          <w:tcPr>
            <w:tcW w:type="dxa" w:w="2880"/>
          </w:tcPr>
          <w:p>
            <w:r>
              <w:t>同一log10_pgenかつ同一SHMを持つ採用行数。</w:t>
            </w:r>
          </w:p>
        </w:tc>
      </w:tr>
      <w:tr>
        <w:tc>
          <w:tcPr>
            <w:tcW w:type="dxa" w:w="2880"/>
          </w:tcPr>
          <w:p>
            <w:r>
              <w:t>plot_weight</w:t>
            </w:r>
          </w:p>
        </w:tc>
        <w:tc>
          <w:tcPr>
            <w:tcW w:type="dxa" w:w="2880"/>
          </w:tcPr>
          <w:p>
            <w:r>
              <w:t>描画補助</w:t>
            </w:r>
          </w:p>
        </w:tc>
        <w:tc>
          <w:tcPr>
            <w:tcW w:type="dxa" w:w="2880"/>
          </w:tcPr>
          <w:p>
            <w:r>
              <w:t>通常は1。duplicate_countを使う設定ではその値。</w:t>
            </w:r>
          </w:p>
        </w:tc>
      </w:tr>
    </w:tbl>
    <w:p/>
    <w:p>
      <w:pPr>
        <w:pStyle w:val="Heading1"/>
      </w:pPr>
      <w:r>
        <w:t>5. SHM histogram仕様</w:t>
      </w:r>
    </w:p>
    <w:p>
      <w:pPr>
        <w:pStyle w:val="ListBullet"/>
      </w:pPr>
      <w:r>
        <w:t>非重み付きSHM histogramは、採用AIRR行を1行1カウントとして作成する。</w:t>
      </w:r>
    </w:p>
    <w:p>
      <w:pPr>
        <w:pStyle w:val="ListBullet"/>
      </w:pPr>
      <w:r>
        <w:t>重み付きSHM histogramは、plot_weightを重みとして作成する。duplicate_count列を使わない通常設定では非重み付きと同じになる。</w:t>
      </w:r>
    </w:p>
    <w:p>
      <w:pPr>
        <w:pStyle w:val="ListBullet"/>
      </w:pPr>
      <w:r>
        <w:t>binは0-2%, 2-4%, ..., 18-20%, 20%以上とする。</w:t>
      </w:r>
    </w:p>
    <w:p>
      <w:pPr>
        <w:pStyle w:val="Heading1"/>
      </w:pPr>
      <w:r>
        <w:t>6. QCと注意点</w:t>
      </w:r>
    </w:p>
    <w:p>
      <w:pPr>
        <w:pStyle w:val="ListBullet"/>
      </w:pPr>
      <w:r>
        <w:t>SHMはv_identity由来であり、V alignmentが短いreadでは不安定になり得る。</w:t>
      </w:r>
    </w:p>
    <w:p>
      <w:pPr>
        <w:pStyle w:val="ListBullet"/>
      </w:pPr>
      <w:r>
        <w:t>初期設定ではV alignment長による除外は行わず、必要時のみMin V alignment lengthを設定する。</w:t>
      </w:r>
    </w:p>
    <w:p>
      <w:pPr>
        <w:pStyle w:val="ListBullet"/>
      </w:pPr>
      <w:r>
        <w:t>counts TSVやExcel集計表は入力対象ではない。必ずIgBLAST AIRR outfmt 19 TSVを用いる。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