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b/>
          <w:sz w:val="36"/>
        </w:rPr>
        <w:t>TSVからpGen-SHMデータ作成仕様書</w:t>
      </w:r>
    </w:p>
    <w:p>
      <w:pPr>
        <w:jc w:val="center"/>
      </w:pPr>
      <w:r>
        <w:rPr>
          <w:rFonts w:ascii="Yu Gothic" w:hAnsi="Yu Gothic"/>
          <w:sz w:val="20"/>
        </w:rPr>
        <w:t>対象: AIRR row-level pGen/SHM data -&gt; pGen-SHM scatter / KDE plot</w:t>
      </w:r>
    </w:p>
    <w:p>
      <w:pPr>
        <w:pStyle w:val="Heading1"/>
      </w:pPr>
      <w:r>
        <w:t>1. 目的</w:t>
      </w:r>
    </w:p>
    <w:p>
      <w:r>
        <w:t>本仕様書は、AIRR TSVから作成したrow-level pGenデータとSHMデータを統合し、pGen-SHM plotを作成する処理を定義する。現行仕様では、フィルタ後のAIRR各行を1点として扱い、同じjunction_aaでもSHMが異なるsequence_idを潰さずに可視化する。</w:t>
      </w:r>
    </w:p>
    <w:p>
      <w:pPr>
        <w:pStyle w:val="Heading1"/>
      </w:pPr>
      <w:r>
        <w:t>2. 解析単位</w:t>
      </w:r>
    </w:p>
    <w:p>
      <w:pPr>
        <w:pStyle w:val="ListBullet"/>
      </w:pPr>
      <w:r>
        <w:t>主解析の単位はフィルタ後のAIRR各行、すなわちsequence_idである。</w:t>
      </w:r>
    </w:p>
    <w:p>
      <w:pPr>
        <w:pStyle w:val="ListBullet"/>
      </w:pPr>
      <w:r>
        <w:t>採用行が10,000行であれば、中間Excelは10,000行となり、pGen-SHM scatterの基本点数も10,000点である。</w:t>
      </w:r>
    </w:p>
    <w:p>
      <w:pPr>
        <w:pStyle w:val="ListBullet"/>
      </w:pPr>
      <w:r>
        <w:t>pGenはjunction_aaから決まるため、同じjunction_aaを持つ行は同じx座標を持つ。</w:t>
      </w:r>
    </w:p>
    <w:p>
      <w:pPr>
        <w:pStyle w:val="ListBullet"/>
      </w:pPr>
      <w:r>
        <w:t>SHMは各行のv_identityから計算するため、同じjunction_aaでもy座標は行ごとに異なり得る。</w:t>
      </w:r>
    </w:p>
    <w:p>
      <w:pPr>
        <w:pStyle w:val="Heading1"/>
      </w:pPr>
      <w:r>
        <w:t>3. 中間Excel仕様</w:t>
      </w:r>
    </w:p>
    <w:p>
      <w:r>
        <w:t>pGen-SHM plot作成前に、採用AIRR行だけを含む中間Excelを出力する。このExcelを図表作成の確認用データとする。</w:t>
      </w:r>
    </w:p>
    <w:tbl>
      <w:tblPr>
        <w:tblStyle w:val="TableGrid"/>
        <w:tblW w:type="auto" w:w="0"/>
        <w:tblLook w:firstColumn="1" w:firstRow="1" w:lastColumn="0" w:lastRow="0" w:noHBand="0" w:noVBand="1" w:val="04A0"/>
      </w:tblPr>
      <w:tblGrid>
        <w:gridCol w:w="2880"/>
        <w:gridCol w:w="2880"/>
        <w:gridCol w:w="2880"/>
      </w:tblGrid>
      <w:tr>
        <w:tc>
          <w:tcPr>
            <w:tcW w:type="dxa" w:w="2880"/>
          </w:tcPr>
          <w:p>
            <w:r>
              <w:t>列名</w:t>
            </w:r>
          </w:p>
        </w:tc>
        <w:tc>
          <w:tcPr>
            <w:tcW w:type="dxa" w:w="2880"/>
          </w:tcPr>
          <w:p>
            <w:r>
              <w:t>区分</w:t>
            </w:r>
          </w:p>
        </w:tc>
        <w:tc>
          <w:tcPr>
            <w:tcW w:type="dxa" w:w="2880"/>
          </w:tcPr>
          <w:p>
            <w:r>
              <w:t>説明</w:t>
            </w:r>
          </w:p>
        </w:tc>
      </w:tr>
      <w:tr>
        <w:tc>
          <w:tcPr>
            <w:tcW w:type="dxa" w:w="2880"/>
          </w:tcPr>
          <w:p>
            <w:r>
              <w:t>sequence_id</w:t>
            </w:r>
          </w:p>
        </w:tc>
        <w:tc>
          <w:tcPr>
            <w:tcW w:type="dxa" w:w="2880"/>
          </w:tcPr>
          <w:p>
            <w:r>
              <w:t>必要データ</w:t>
            </w:r>
          </w:p>
        </w:tc>
        <w:tc>
          <w:tcPr>
            <w:tcW w:type="dxa" w:w="2880"/>
          </w:tcPr>
          <w:p>
            <w:r>
              <w:t>AIRR TSVのsequence_id。</w:t>
            </w:r>
          </w:p>
        </w:tc>
      </w:tr>
      <w:tr>
        <w:tc>
          <w:tcPr>
            <w:tcW w:type="dxa" w:w="2880"/>
          </w:tcPr>
          <w:p>
            <w:r>
              <w:t>junction_aa</w:t>
            </w:r>
          </w:p>
        </w:tc>
        <w:tc>
          <w:tcPr>
            <w:tcW w:type="dxa" w:w="2880"/>
          </w:tcPr>
          <w:p>
            <w:r>
              <w:t>必要データ</w:t>
            </w:r>
          </w:p>
        </w:tc>
        <w:tc>
          <w:tcPr>
            <w:tcW w:type="dxa" w:w="2880"/>
          </w:tcPr>
          <w:p>
            <w:r>
              <w:t>pGen計算単位となるCDR3アミノ酸配列。</w:t>
            </w:r>
          </w:p>
        </w:tc>
      </w:tr>
      <w:tr>
        <w:tc>
          <w:tcPr>
            <w:tcW w:type="dxa" w:w="2880"/>
          </w:tcPr>
          <w:p>
            <w:r>
              <w:t>shm</w:t>
            </w:r>
          </w:p>
        </w:tc>
        <w:tc>
          <w:tcPr>
            <w:tcW w:type="dxa" w:w="2880"/>
          </w:tcPr>
          <w:p>
            <w:r>
              <w:t>必要データ</w:t>
            </w:r>
          </w:p>
        </w:tc>
        <w:tc>
          <w:tcPr>
            <w:tcW w:type="dxa" w:w="2880"/>
          </w:tcPr>
          <w:p>
            <w:r>
              <w:t>各行のv_identityから計算したSHM。</w:t>
            </w:r>
          </w:p>
        </w:tc>
      </w:tr>
      <w:tr>
        <w:tc>
          <w:tcPr>
            <w:tcW w:type="dxa" w:w="2880"/>
          </w:tcPr>
          <w:p>
            <w:r>
              <w:t>pgen</w:t>
            </w:r>
          </w:p>
        </w:tc>
        <w:tc>
          <w:tcPr>
            <w:tcW w:type="dxa" w:w="2880"/>
          </w:tcPr>
          <w:p>
            <w:r>
              <w:t>必要データ</w:t>
            </w:r>
          </w:p>
        </w:tc>
        <w:tc>
          <w:tcPr>
            <w:tcW w:type="dxa" w:w="2880"/>
          </w:tcPr>
          <w:p>
            <w:r>
              <w:t>junction_aaから計算したpGen。</w:t>
            </w:r>
          </w:p>
        </w:tc>
      </w:tr>
      <w:tr>
        <w:tc>
          <w:tcPr>
            <w:tcW w:type="dxa" w:w="2880"/>
          </w:tcPr>
          <w:p>
            <w:r>
              <w:t>log10_pgen</w:t>
            </w:r>
          </w:p>
        </w:tc>
        <w:tc>
          <w:tcPr>
            <w:tcW w:type="dxa" w:w="2880"/>
          </w:tcPr>
          <w:p>
            <w:r>
              <w:t>必要データ</w:t>
            </w:r>
          </w:p>
        </w:tc>
        <w:tc>
          <w:tcPr>
            <w:tcW w:type="dxa" w:w="2880"/>
          </w:tcPr>
          <w:p>
            <w:r>
              <w:t>pGen&gt;0の場合のlog10(pGen)。</w:t>
            </w:r>
          </w:p>
        </w:tc>
      </w:tr>
      <w:tr>
        <w:tc>
          <w:tcPr>
            <w:tcW w:type="dxa" w:w="2880"/>
          </w:tcPr>
          <w:p>
            <w:r>
              <w:t>junction</w:t>
            </w:r>
          </w:p>
        </w:tc>
        <w:tc>
          <w:tcPr>
            <w:tcW w:type="dxa" w:w="2880"/>
          </w:tcPr>
          <w:p>
            <w:r>
              <w:t>参考データ</w:t>
            </w:r>
          </w:p>
        </w:tc>
        <w:tc>
          <w:tcPr>
            <w:tcW w:type="dxa" w:w="2880"/>
          </w:tcPr>
          <w:p>
            <w:r>
              <w:t>CDR3塩基配列。</w:t>
            </w:r>
          </w:p>
        </w:tc>
      </w:tr>
      <w:tr>
        <w:tc>
          <w:tcPr>
            <w:tcW w:type="dxa" w:w="2880"/>
          </w:tcPr>
          <w:p>
            <w:r>
              <w:t>v_identity</w:t>
            </w:r>
          </w:p>
        </w:tc>
        <w:tc>
          <w:tcPr>
            <w:tcW w:type="dxa" w:w="2880"/>
          </w:tcPr>
          <w:p>
            <w:r>
              <w:t>参考データ</w:t>
            </w:r>
          </w:p>
        </w:tc>
        <w:tc>
          <w:tcPr>
            <w:tcW w:type="dxa" w:w="2880"/>
          </w:tcPr>
          <w:p>
            <w:r>
              <w:t>SHM計算元。</w:t>
            </w:r>
          </w:p>
        </w:tc>
      </w:tr>
      <w:tr>
        <w:tc>
          <w:tcPr>
            <w:tcW w:type="dxa" w:w="2880"/>
          </w:tcPr>
          <w:p>
            <w:r>
              <w:t>locus</w:t>
            </w:r>
          </w:p>
        </w:tc>
        <w:tc>
          <w:tcPr>
            <w:tcW w:type="dxa" w:w="2880"/>
          </w:tcPr>
          <w:p>
            <w:r>
              <w:t>参考データ</w:t>
            </w:r>
          </w:p>
        </w:tc>
        <w:tc>
          <w:tcPr>
            <w:tcW w:type="dxa" w:w="2880"/>
          </w:tcPr>
          <w:p>
            <w:r>
              <w:t>IGHフィルタ確認用。</w:t>
            </w:r>
          </w:p>
        </w:tc>
      </w:tr>
      <w:tr>
        <w:tc>
          <w:tcPr>
            <w:tcW w:type="dxa" w:w="2880"/>
          </w:tcPr>
          <w:p>
            <w:r>
              <w:t>productive</w:t>
            </w:r>
          </w:p>
        </w:tc>
        <w:tc>
          <w:tcPr>
            <w:tcW w:type="dxa" w:w="2880"/>
          </w:tcPr>
          <w:p>
            <w:r>
              <w:t>参考データ</w:t>
            </w:r>
          </w:p>
        </w:tc>
        <w:tc>
          <w:tcPr>
            <w:tcW w:type="dxa" w:w="2880"/>
          </w:tcPr>
          <w:p>
            <w:r>
              <w:t>productiveフィルタ確認用。</w:t>
            </w:r>
          </w:p>
        </w:tc>
      </w:tr>
      <w:tr>
        <w:tc>
          <w:tcPr>
            <w:tcW w:type="dxa" w:w="2880"/>
          </w:tcPr>
          <w:p>
            <w:r>
              <w:t>v_call</w:t>
            </w:r>
          </w:p>
        </w:tc>
        <w:tc>
          <w:tcPr>
            <w:tcW w:type="dxa" w:w="2880"/>
          </w:tcPr>
          <w:p>
            <w:r>
              <w:t>参考データ</w:t>
            </w:r>
          </w:p>
        </w:tc>
        <w:tc>
          <w:tcPr>
            <w:tcW w:type="dxa" w:w="2880"/>
          </w:tcPr>
          <w:p>
            <w:r>
              <w:t>pGen計算には使わないが、解釈/QC用に保持。</w:t>
            </w:r>
          </w:p>
        </w:tc>
      </w:tr>
      <w:tr>
        <w:tc>
          <w:tcPr>
            <w:tcW w:type="dxa" w:w="2880"/>
          </w:tcPr>
          <w:p>
            <w:r>
              <w:t>j_call</w:t>
            </w:r>
          </w:p>
        </w:tc>
        <w:tc>
          <w:tcPr>
            <w:tcW w:type="dxa" w:w="2880"/>
          </w:tcPr>
          <w:p>
            <w:r>
              <w:t>参考データ</w:t>
            </w:r>
          </w:p>
        </w:tc>
        <w:tc>
          <w:tcPr>
            <w:tcW w:type="dxa" w:w="2880"/>
          </w:tcPr>
          <w:p>
            <w:r>
              <w:t>pGen計算には使わないが、解釈/QC用に保持。</w:t>
            </w:r>
          </w:p>
        </w:tc>
      </w:tr>
      <w:tr>
        <w:tc>
          <w:tcPr>
            <w:tcW w:type="dxa" w:w="2880"/>
          </w:tcPr>
          <w:p>
            <w:r>
              <w:t>same_xy_count</w:t>
            </w:r>
          </w:p>
        </w:tc>
        <w:tc>
          <w:tcPr>
            <w:tcW w:type="dxa" w:w="2880"/>
          </w:tcPr>
          <w:p>
            <w:r>
              <w:t>描画補助</w:t>
            </w:r>
          </w:p>
        </w:tc>
        <w:tc>
          <w:tcPr>
            <w:tcW w:type="dxa" w:w="2880"/>
          </w:tcPr>
          <w:p>
            <w:r>
              <w:t>同一log10_pgenかつ同一SHMの採用行数。</w:t>
            </w:r>
          </w:p>
        </w:tc>
      </w:tr>
      <w:tr>
        <w:tc>
          <w:tcPr>
            <w:tcW w:type="dxa" w:w="2880"/>
          </w:tcPr>
          <w:p>
            <w:r>
              <w:t>plot_weight</w:t>
            </w:r>
          </w:p>
        </w:tc>
        <w:tc>
          <w:tcPr>
            <w:tcW w:type="dxa" w:w="2880"/>
          </w:tcPr>
          <w:p>
            <w:r>
              <w:t>描画補助</w:t>
            </w:r>
          </w:p>
        </w:tc>
        <w:tc>
          <w:tcPr>
            <w:tcW w:type="dxa" w:w="2880"/>
          </w:tcPr>
          <w:p>
            <w:r>
              <w:t>scatter点サイズおよびKDE重みに用いる値。通常は1。</w:t>
            </w:r>
          </w:p>
        </w:tc>
      </w:tr>
    </w:tbl>
    <w:p/>
    <w:p>
      <w:pPr>
        <w:pStyle w:val="Heading1"/>
      </w:pPr>
      <w:r>
        <w:t>4. pGen-SHM scatter仕様</w:t>
      </w:r>
    </w:p>
    <w:p>
      <w:pPr>
        <w:pStyle w:val="ListBullet"/>
      </w:pPr>
      <w:r>
        <w:t>x軸はlog10_pgen、y軸はshmとする。</w:t>
      </w:r>
    </w:p>
    <w:p>
      <w:pPr>
        <w:pStyle w:val="ListBullet"/>
      </w:pPr>
      <w:r>
        <w:t>基本的には採用AIRR 1行を1点として描画する。</w:t>
      </w:r>
    </w:p>
    <w:p>
      <w:pPr>
        <w:pStyle w:val="ListBullet"/>
      </w:pPr>
      <w:r>
        <w:t>同一のlog10_pgenとshmを持つ行が複数ある場合、Excelでは各sequence_id行を保持し、描画時だけ同一座標に集約する。</w:t>
      </w:r>
    </w:p>
    <w:p>
      <w:pPr>
        <w:pStyle w:val="ListBullet"/>
      </w:pPr>
      <w:r>
        <w:t>同一座標に集約された点は、same_xy_countまたはplot_weightに応じて点サイズを大きくする。</w:t>
      </w:r>
    </w:p>
    <w:p>
      <w:pPr>
        <w:pStyle w:val="ListBullet"/>
      </w:pPr>
      <w:r>
        <w:t>pGen=0の行はlog10_pgenが定義できないため、Excel/points TSVには残すがscatterからは除外する。</w:t>
      </w:r>
    </w:p>
    <w:p>
      <w:pPr>
        <w:pStyle w:val="Heading1"/>
      </w:pPr>
      <w:r>
        <w:t>5. pGen-SHM KDE仕様</w:t>
      </w:r>
    </w:p>
    <w:p>
      <w:pPr>
        <w:pStyle w:val="ListBullet"/>
      </w:pPr>
      <w:r>
        <w:t>KDEはscatterと同じrow-levelデータを用いる。</w:t>
      </w:r>
    </w:p>
    <w:p>
      <w:pPr>
        <w:pStyle w:val="ListBullet"/>
      </w:pPr>
      <w:r>
        <w:t>同一座標の点は、KDE計算時に同一座標の重みとして反映する。これにより、完全に重なった点も密度に反映される。</w:t>
      </w:r>
    </w:p>
    <w:p>
      <w:pPr>
        <w:pStyle w:val="ListBullet"/>
      </w:pPr>
      <w:r>
        <w:t>非重み付きKDEでは、各sequence_id行を1として扱う。exact duplicate座標はsame_xy_count分の重みとなる。</w:t>
      </w:r>
    </w:p>
    <w:p>
      <w:pPr>
        <w:pStyle w:val="ListBullet"/>
      </w:pPr>
      <w:r>
        <w:t>weighted KDEでは、plot_weightを重みに用いる。duplicate_countを使わない通常設定では非重み付きKDEと同じになる。</w:t>
      </w:r>
    </w:p>
    <w:p>
      <w:pPr>
        <w:pStyle w:val="ListBullet"/>
      </w:pPr>
      <w:r>
        <w:t>pGen=0、log10_pgen欠損、KDE xlim/ylim範囲外の行はKDEから除外する。</w:t>
      </w:r>
    </w:p>
    <w:p>
      <w:pPr>
        <w:pStyle w:val="Heading1"/>
      </w:pPr>
      <w:r>
        <w:t>6. 出力仕様</w:t>
      </w:r>
    </w:p>
    <w:tbl>
      <w:tblPr>
        <w:tblStyle w:val="TableGrid"/>
        <w:tblW w:type="auto" w:w="0"/>
        <w:tblLook w:firstColumn="1" w:firstRow="1" w:lastColumn="0" w:lastRow="0" w:noHBand="0" w:noVBand="1" w:val="04A0"/>
      </w:tblPr>
      <w:tblGrid>
        <w:gridCol w:w="4320"/>
        <w:gridCol w:w="4320"/>
      </w:tblGrid>
      <w:tr>
        <w:tc>
          <w:tcPr>
            <w:tcW w:type="dxa" w:w="4320"/>
          </w:tcPr>
          <w:p>
            <w:r>
              <w:t>出力</w:t>
            </w:r>
          </w:p>
        </w:tc>
        <w:tc>
          <w:tcPr>
            <w:tcW w:type="dxa" w:w="4320"/>
          </w:tcPr>
          <w:p>
            <w:r>
              <w:t>内容</w:t>
            </w:r>
          </w:p>
        </w:tc>
      </w:tr>
      <w:tr>
        <w:tc>
          <w:tcPr>
            <w:tcW w:type="dxa" w:w="4320"/>
          </w:tcPr>
          <w:p>
            <w:r>
              <w:t>&lt;sample&gt;_pgen_shm_rows.xlsx</w:t>
            </w:r>
          </w:p>
        </w:tc>
        <w:tc>
          <w:tcPr>
            <w:tcW w:type="dxa" w:w="4320"/>
          </w:tcPr>
          <w:p>
            <w:r>
              <w:t>採用AIRR行ごとの中間Excel。</w:t>
            </w:r>
          </w:p>
        </w:tc>
      </w:tr>
      <w:tr>
        <w:tc>
          <w:tcPr>
            <w:tcW w:type="dxa" w:w="4320"/>
          </w:tcPr>
          <w:p>
            <w:r>
              <w:t>&lt;sample&gt;_pgen_shm_points.tsv</w:t>
            </w:r>
          </w:p>
        </w:tc>
        <w:tc>
          <w:tcPr>
            <w:tcW w:type="dxa" w:w="4320"/>
          </w:tcPr>
          <w:p>
            <w:r>
              <w:t>中間Excelと同じrow-level点データをTSVで出力。</w:t>
            </w:r>
          </w:p>
        </w:tc>
      </w:tr>
      <w:tr>
        <w:tc>
          <w:tcPr>
            <w:tcW w:type="dxa" w:w="4320"/>
          </w:tcPr>
          <w:p>
            <w:r>
              <w:t>&lt;sample&gt;_pgen_shm_scatter_reads.png</w:t>
            </w:r>
          </w:p>
        </w:tc>
        <w:tc>
          <w:tcPr>
            <w:tcW w:type="dxa" w:w="4320"/>
          </w:tcPr>
          <w:p>
            <w:r>
              <w:t>採用AIRR行を基本単位としたscatter plot。</w:t>
            </w:r>
          </w:p>
        </w:tc>
      </w:tr>
      <w:tr>
        <w:tc>
          <w:tcPr>
            <w:tcW w:type="dxa" w:w="4320"/>
          </w:tcPr>
          <w:p>
            <w:r>
              <w:t>&lt;sample&gt;_pgen_shm_kde_unweighted.png</w:t>
            </w:r>
          </w:p>
        </w:tc>
        <w:tc>
          <w:tcPr>
            <w:tcW w:type="dxa" w:w="4320"/>
          </w:tcPr>
          <w:p>
            <w:r>
              <w:t>sequence_id単位のKDE plot。</w:t>
            </w:r>
          </w:p>
        </w:tc>
      </w:tr>
      <w:tr>
        <w:tc>
          <w:tcPr>
            <w:tcW w:type="dxa" w:w="4320"/>
          </w:tcPr>
          <w:p>
            <w:r>
              <w:t>&lt;sample&gt;_pgen_shm_kde_weighted.png</w:t>
            </w:r>
          </w:p>
        </w:tc>
        <w:tc>
          <w:tcPr>
            <w:tcW w:type="dxa" w:w="4320"/>
          </w:tcPr>
          <w:p>
            <w:r>
              <w:t>plot_weightを重みにしたKDE plot。</w:t>
            </w:r>
          </w:p>
        </w:tc>
      </w:tr>
      <w:tr>
        <w:tc>
          <w:tcPr>
            <w:tcW w:type="dxa" w:w="4320"/>
          </w:tcPr>
          <w:p>
            <w:r>
              <w:t>&lt;sample&gt;_pgen_shm_scatter_weighted.png</w:t>
            </w:r>
          </w:p>
        </w:tc>
        <w:tc>
          <w:tcPr>
            <w:tcW w:type="dxa" w:w="4320"/>
          </w:tcPr>
          <w:p>
            <w:r>
              <w:t>plot_weightを点サイズに反映したscatter plot。</w:t>
            </w:r>
          </w:p>
        </w:tc>
      </w:tr>
    </w:tbl>
    <w:p/>
    <w:p>
      <w:pPr>
        <w:pStyle w:val="Heading1"/>
      </w:pPr>
      <w:r>
        <w:t>7. 解釈と確認ポイント</w:t>
      </w:r>
    </w:p>
    <w:p>
      <w:pPr>
        <w:pStyle w:val="ListBullet"/>
      </w:pPr>
      <w:r>
        <w:t>同じjunction_aaの点が縦に並ぶ場合、pGenは同じだがSHMがsequence_idごとに異なることを示す。</w:t>
      </w:r>
    </w:p>
    <w:p>
      <w:pPr>
        <w:pStyle w:val="ListBullet"/>
      </w:pPr>
      <w:r>
        <w:t>v_identityが小数3桁で出力される場合、SHMの完全一致は限定的と考えられるが、完全一致時はsame_xy_countで確認できる。</w:t>
      </w:r>
    </w:p>
    <w:p>
      <w:pPr>
        <w:pStyle w:val="ListBullet"/>
      </w:pPr>
      <w:r>
        <w:t>高SHM・低pGen領域は、変異蓄積が大きく生成確率が低い配列群として解釈できる可能性がある。</w:t>
      </w:r>
    </w:p>
    <w:p>
      <w:pPr>
        <w:pStyle w:val="ListBullet"/>
      </w:pPr>
      <w:r>
        <w:t>低SHM・高pGen領域は、germlineに近い配列、V alignmentが短い点、または入力/アノテーション条件の影響を確認する。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