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Yu Gothic" w:hAnsi="Yu Gothic" w:eastAsia="Yu Gothic"/>
          <w:b/>
          <w:color w:val="000000"/>
          <w:sz w:val="40"/>
        </w:rPr>
        <w:t>TSVからSHMデータ作成仕様書</w:t>
      </w:r>
    </w:p>
    <w:p>
      <w:pPr>
        <w:spacing w:after="200"/>
      </w:pPr>
      <w:r>
        <w:rPr>
          <w:rFonts w:ascii="Yu Gothic" w:hAnsi="Yu Gothic" w:eastAsia="Yu Gothic"/>
          <w:color w:val="555555"/>
          <w:sz w:val="20"/>
        </w:rPr>
        <w:t>対象: IgBLAST AIRR outfmt 19 TSV / 更新日: 2026-06-09 / 目的: SHM計算の再現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</w:rPr>
              <w:t>本書はSHM計算の詳細仕様である。全体フロー、採用フィルタ、pGen-SHM図表の統合仕様はpGen-SHM仕様書に記載する。</w:t>
            </w:r>
          </w:p>
        </w:tc>
      </w:tr>
    </w:tbl>
    <w:p>
      <w:pPr>
        <w:pStyle w:val="Heading1"/>
      </w:pPr>
      <w:r>
        <w:t>1. 目的と位置づけ</w:t>
      </w:r>
    </w:p>
    <w:p>
      <w:pPr>
        <w:spacing w:after="120"/>
      </w:pPr>
      <w:r>
        <w:t>SHMはV領域の%Mutationであり、pGen-SHM plotのy軸に使う。AIRR TSVのv_identityから計算し、row-level Excel/TSVのshm列として保持する。</w:t>
      </w:r>
    </w:p>
    <w:p>
      <w:pPr>
        <w:spacing w:after="120"/>
      </w:pPr>
      <w:r>
        <w:t>同じjunction_aaでも、V領域のmutation状態は異なり得る。したがって主解析では、同じjunction_aaをmedianに潰さず、各sequence_id行のSHMを保持する。</w:t>
      </w:r>
    </w:p>
    <w:p>
      <w:pPr>
        <w:pStyle w:val="Heading1"/>
      </w:pPr>
      <w:r>
        <w:t>2. 入力と前提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項目</w:t>
            </w:r>
          </w:p>
        </w:tc>
        <w:tc>
          <w:tcPr>
            <w:tcW w:type="dxa" w:w="70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仕様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入力</w:t>
            </w:r>
          </w:p>
        </w:tc>
        <w:tc>
          <w:tcPr>
            <w:tcW w:type="dxa" w:w="7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pGen-SHM仕様書の採用フィルタを通過したAIRR行。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必須列</w:t>
            </w:r>
          </w:p>
        </w:tc>
        <w:tc>
          <w:tcPr>
            <w:tcW w:type="dxa" w:w="7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v_identity。数値として読めない行は除外する。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参考列</w:t>
            </w:r>
          </w:p>
        </w:tc>
        <w:tc>
          <w:tcPr>
            <w:tcW w:type="dxa" w:w="7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sequence_id, junction, junction_aa, v_call, j_call, locus, productive。row-level表に残す。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 alignment length列</w:t>
            </w:r>
          </w:p>
        </w:tc>
        <w:tc>
          <w:tcPr>
            <w:tcW w:type="dxa" w:w="7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v_sequence_alignment、またはv_alignment_start/v_alignment_endがあれば長さを算出する。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Min V alignment length</w:t>
            </w:r>
          </w:p>
        </w:tc>
        <w:tc>
          <w:tcPr>
            <w:tcW w:type="dxa" w:w="7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デフォルト0では除外しない。0より大きい値を指定した場合だけ短いalignmentを除外する。</w:t>
            </w:r>
          </w:p>
        </w:tc>
      </w:tr>
    </w:tbl>
    <w:p/>
    <w:p>
      <w:pPr>
        <w:pStyle w:val="Heading1"/>
      </w:pPr>
      <w:r>
        <w:t>3. SHM計算式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800"/>
        <w:gridCol w:w="2500"/>
        <w:gridCol w:w="4060"/>
      </w:tblGrid>
      <w:tr>
        <w:tc>
          <w:tcPr>
            <w:tcW w:type="dxa" w:w="28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v_identityの形式</w:t>
            </w:r>
          </w:p>
        </w:tc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判定</w:t>
            </w:r>
          </w:p>
        </w:tc>
        <w:tc>
          <w:tcPr>
            <w:tcW w:type="dxa" w:w="40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SHM計算式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0から1程度の小数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 &lt;= 1.2</w:t>
            </w:r>
          </w:p>
        </w:tc>
        <w:tc>
          <w:tcPr>
            <w:tcW w:type="dxa" w:w="4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(1 - v_identity) x 100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0から100程度の百分率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 &gt; 1.2</w:t>
            </w:r>
          </w:p>
        </w:tc>
        <w:tc>
          <w:tcPr>
            <w:tcW w:type="dxa" w:w="4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100 - v_identity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計算後に負値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負値は0に補正</w:t>
            </w:r>
          </w:p>
        </w:tc>
        <w:tc>
          <w:tcPr>
            <w:tcW w:type="dxa" w:w="4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max(0, SHM)</w:t>
            </w:r>
          </w:p>
        </w:tc>
      </w:tr>
    </w:tbl>
    <w:p/>
    <w:p>
      <w:r>
        <w:t>例: v_identity=0.985ならSHM=1.5%。v_identity=98.5ならSHM=1.5%。IgBLAST AIRR TSVの出力形式差を吸収するため、この2形式に対応する。</w:t>
      </w:r>
    </w:p>
    <w:p>
      <w:pPr>
        <w:pStyle w:val="Heading1"/>
      </w:pPr>
      <w:r>
        <w:t>4. V alignment length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800"/>
        <w:gridCol w:w="3300"/>
        <w:gridCol w:w="3260"/>
      </w:tblGrid>
      <w:tr>
        <w:tc>
          <w:tcPr>
            <w:tcW w:type="dxa" w:w="28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入力列</w:t>
            </w:r>
          </w:p>
        </w:tc>
        <w:tc>
          <w:tcPr>
            <w:tcW w:type="dxa" w:w="33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長さの計算</w:t>
            </w:r>
          </w:p>
        </w:tc>
        <w:tc>
          <w:tcPr>
            <w:tcW w:type="dxa" w:w="32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用途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v_sequence_alignment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ギャップ、ドット、空白を除いた文字数。</w:t>
            </w:r>
          </w:p>
        </w:tc>
        <w:tc>
          <w:tcPr>
            <w:tcW w:type="dxa" w:w="32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優先して使用する。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v_alignment_start + v_alignment_end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end - start + 1。</w:t>
            </w:r>
          </w:p>
        </w:tc>
        <w:tc>
          <w:tcPr>
            <w:tcW w:type="dxa" w:w="32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v_sequence_alignmentがない場合の代替。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列なし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0として扱う。</w:t>
            </w:r>
          </w:p>
        </w:tc>
        <w:tc>
          <w:tcPr>
            <w:tcW w:type="dxa" w:w="32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Min V alignment lengthが0なら許容。0より大きい指定時はエラー。</w:t>
            </w:r>
          </w:p>
        </w:tc>
      </w:tr>
    </w:tbl>
    <w:p/>
    <w:p>
      <w:r>
        <w:t>V alignmentが短いreadではSHM推定が不安定になる可能性がある。ただし現行既定では除外せず、QCやv_seq_len_medianで後から判断できるようにする。</w:t>
      </w:r>
    </w:p>
    <w:p>
      <w:pPr>
        <w:pStyle w:val="Heading1"/>
      </w:pPr>
      <w:r>
        <w:t>5. row-level SHM保持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6860"/>
      </w:tblGrid>
      <w:tr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列</w:t>
            </w:r>
          </w:p>
        </w:tc>
        <w:tc>
          <w:tcPr>
            <w:tcW w:type="dxa" w:w="6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意味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sequence_id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採用AIRR行のID。SHM保持単位。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pGen計算単位。同じjunction_aaでもSHMは別々に保持する。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CDR3 nucleotide配列。Beta1互換出力のunique junction単位に使う。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AIRR TSVの元値。再計算や検証のため残す。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v_identityから計算した%Mutation。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same_xy_count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同じlog10_pgenとSHM座標を持つrow数。</w:t>
            </w:r>
          </w:p>
        </w:tc>
      </w:tr>
    </w:tbl>
    <w:p/>
    <w:p>
      <w:pPr>
        <w:pStyle w:val="Heading1"/>
      </w:pPr>
      <w:r>
        <w:t>6. SHM histogram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6860"/>
      </w:tblGrid>
      <w:tr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bin</w:t>
            </w:r>
          </w:p>
        </w:tc>
        <w:tc>
          <w:tcPr>
            <w:tcW w:type="dxa" w:w="6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範囲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0~2%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0 &lt;= SHM &lt; 2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2~4%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2 &lt;= SHM &lt; 4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4~6%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4 &lt;= SHM &lt; 6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6~8%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6 &lt;= SHM &lt; 8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8~10%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8 &lt;= SHM &lt; 10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10~12%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10 &lt;= SHM &lt; 12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12~14%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12 &lt;= SHM &lt; 14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14~16%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14 &lt;= SHM &lt; 16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16~18%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16 &lt;= SHM &lt; 18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18~20%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18 &lt;= SHM &lt; 20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20~%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20 &lt;= SHM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500"/>
        <w:gridCol w:w="5860"/>
      </w:tblGrid>
      <w:tr>
        <w:tc>
          <w:tcPr>
            <w:tcW w:type="dxa" w:w="3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出力</w:t>
            </w:r>
          </w:p>
        </w:tc>
        <w:tc>
          <w:tcPr>
            <w:tcW w:type="dxa" w:w="5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内容</w:t>
            </w:r>
          </w:p>
        </w:tc>
      </w:tr>
      <w:tr>
        <w:tc>
          <w:tcPr>
            <w:tcW w:type="dxa" w:w="3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*_shm_hist.tsv / *_shm_hist.png</w:t>
            </w:r>
          </w:p>
        </w:tc>
        <w:tc>
          <w:tcPr>
            <w:tcW w:type="dxa" w:w="5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row-levelの非重み付きSHM分布。</w:t>
            </w:r>
          </w:p>
        </w:tc>
      </w:tr>
      <w:tr>
        <w:tc>
          <w:tcPr>
            <w:tcW w:type="dxa" w:w="3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*_shm_hist_weighted.tsv / *_shm_hist_weighted.png</w:t>
            </w:r>
          </w:p>
        </w:tc>
        <w:tc>
          <w:tcPr>
            <w:tcW w:type="dxa" w:w="5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plot_weightを用いた重み付きSHM分布。</w:t>
            </w:r>
          </w:p>
        </w:tc>
      </w:tr>
    </w:tbl>
    <w:p/>
    <w:p>
      <w:pPr>
        <w:pStyle w:val="Heading1"/>
      </w:pPr>
      <w:r>
        <w:t>7. Beta1方式との関係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400"/>
        <w:gridCol w:w="3800"/>
        <w:gridCol w:w="3160"/>
      </w:tblGrid>
      <w:tr>
        <w:tc>
          <w:tcPr>
            <w:tcW w:type="dxa" w:w="24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方式</w:t>
            </w:r>
          </w:p>
        </w:tc>
        <w:tc>
          <w:tcPr>
            <w:tcW w:type="dxa" w:w="38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SHMの扱い</w:t>
            </w:r>
          </w:p>
        </w:tc>
        <w:tc>
          <w:tcPr>
            <w:tcW w:type="dxa" w:w="31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用途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row-level主解析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フィルタ後AIRR各行のSHMを保持する。</w:t>
            </w:r>
          </w:p>
        </w:tc>
        <w:tc>
          <w:tcPr>
            <w:tcW w:type="dxa" w:w="3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情報を潰さない主解析。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Beta1互換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unique junctionごとにSHM medianを1点にする。</w:t>
            </w:r>
          </w:p>
        </w:tc>
        <w:tc>
          <w:tcPr>
            <w:tcW w:type="dxa" w:w="3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前任者法・旧Beta1との比較。</w:t>
            </w:r>
          </w:p>
        </w:tc>
      </w:tr>
    </w:tbl>
    <w:p/>
    <w:p>
      <w:pPr>
        <w:pStyle w:val="Heading1"/>
      </w:pPr>
      <w:r>
        <w:t>8. 議論したポイント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600"/>
        <w:gridCol w:w="6760"/>
      </w:tblGrid>
      <w:tr>
        <w:tc>
          <w:tcPr>
            <w:tcW w:type="dxa" w:w="26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論点</w:t>
            </w:r>
          </w:p>
        </w:tc>
        <w:tc>
          <w:tcPr>
            <w:tcW w:type="dxa" w:w="67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現行判断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同じjunction_aaでSHMが異なる場合</w:t>
            </w:r>
          </w:p>
        </w:tc>
        <w:tc>
          <w:tcPr>
            <w:tcW w:type="dxa" w:w="6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生物学的に別情報なので、主解析では各sequence_id行を残す。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median化</w:t>
            </w:r>
          </w:p>
        </w:tc>
        <w:tc>
          <w:tcPr>
            <w:tcW w:type="dxa" w:w="6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Beta1互換・比較用としては有用だが、主解析では情報を失うため行わない。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v_identityの小数桁</w:t>
            </w:r>
          </w:p>
        </w:tc>
        <w:tc>
          <w:tcPr>
            <w:tcW w:type="dxa" w:w="6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小数3桁程度なら完全同一SHMは多くない想定だが、完全同一座標はsame_xy_countで把握する。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短いV alignment</w:t>
            </w:r>
          </w:p>
        </w:tc>
        <w:tc>
          <w:tcPr>
            <w:tcW w:type="dxa" w:w="6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初期既定では除外しない。必要に応じてMin V alignment lengthを設定し、QCで影響を確認する。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weighted SHM</w:t>
            </w:r>
          </w:p>
        </w:tc>
        <w:tc>
          <w:tcPr>
            <w:tcW w:type="dxa" w:w="6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read数やduplicate_countを反映できるが、PCR増幅やsamplingの影響も受ける。非重み付きと併用する。</w:t>
            </w:r>
          </w:p>
        </w:tc>
      </w:tr>
    </w:tbl>
    <w:p/>
    <w:p>
      <w:pPr>
        <w:pStyle w:val="Heading1"/>
      </w:pPr>
      <w:r>
        <w:t>9. 再現チェック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6860"/>
      </w:tblGrid>
      <w:tr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確認</w:t>
            </w:r>
          </w:p>
        </w:tc>
        <w:tc>
          <w:tcPr>
            <w:tcW w:type="dxa" w:w="6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期待される状態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欠損・非数値が除外され、shm列が作成される。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SHM範囲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負値は0に補正される。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row-level保持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同じjunction_aaでもsequence_idごとのshmが残る。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 histogram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非重み付き版と重み付き版が両方出力される。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pGen-SHM plot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y軸にrow-levelのshmを使う。Beta1互換plotではshm_medianを使う。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Yu Gothic" w:hAnsi="Yu Gothic" w:eastAsia="Yu Gothic"/>
        <w:color w:val="666666"/>
        <w:sz w:val="18"/>
      </w:rPr>
      <w:t>SHM calculation specification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Yu Gothic" w:hAnsi="Yu Gothic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