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Yu Gothic" w:hAnsi="Yu Gothic" w:eastAsia="Yu Gothic"/>
          <w:b/>
          <w:color w:val="000000"/>
          <w:sz w:val="40"/>
        </w:rPr>
        <w:t>TSVからpGenデータ作成仕様書</w:t>
      </w:r>
    </w:p>
    <w:p>
      <w:pPr>
        <w:spacing w:after="200"/>
      </w:pPr>
      <w:r>
        <w:rPr>
          <w:rFonts w:ascii="Yu Gothic" w:hAnsi="Yu Gothic" w:eastAsia="Yu Gothic"/>
          <w:color w:val="555555"/>
          <w:sz w:val="20"/>
        </w:rPr>
        <w:t>対象: IgBLAST AIRR outfmt 19 TSV / 更新日: 2026-06-09 / 目的: OLGA pGen計算の再現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</w:rPr>
              <w:t>本書はpGen計算の詳細仕様である。全体フロー、採用フィルタ、pGen-SHM図表の統合仕様はpGen-SHM仕様書に記載する。</w:t>
            </w:r>
          </w:p>
        </w:tc>
      </w:tr>
    </w:tbl>
    <w:p>
      <w:pPr>
        <w:pStyle w:val="Heading1"/>
      </w:pPr>
      <w:r>
        <w:t>1. 目的と位置づけ</w:t>
      </w:r>
    </w:p>
    <w:p>
      <w:pPr>
        <w:spacing w:after="120"/>
      </w:pPr>
      <w:r>
        <w:t>pGenは、junction_aaとして表されたCDR3 amino acid配列が、OLGAのヒトB細胞重鎖モデルで生成される確率である。本解析では、pGen-SHM plotのx軸およびpGen分布図の作成に使う。</w:t>
      </w:r>
    </w:p>
    <w:p>
      <w:pPr>
        <w:spacing w:after="120"/>
      </w:pPr>
      <w:r>
        <w:t>pGen計算そのものにV call、J call、v_identityは渡さない。OLGAにはjunction_aaのみを渡す。ただし、解析対象はIGHを前提とするため、共通フィルタでlocusやproductiveを確認した後の行を対象とする。</w:t>
      </w:r>
    </w:p>
    <w:p>
      <w:pPr>
        <w:pStyle w:val="Heading1"/>
      </w:pPr>
      <w:r>
        <w:t>2. 入力と前提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200"/>
        <w:gridCol w:w="7160"/>
      </w:tblGrid>
      <w:tr>
        <w:tc>
          <w:tcPr>
            <w:tcW w:type="dxa" w:w="22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項目</w:t>
            </w:r>
          </w:p>
        </w:tc>
        <w:tc>
          <w:tcPr>
            <w:tcW w:type="dxa" w:w="71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仕様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入力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pGen-SHM仕様書の採用フィルタを通過したAIRR行のjunction_aa。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モデル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OLGA default_models/human_B_heavy。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計算単位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内部計算はunique junction_aaごとに行う。結果はrow-level表の各sequence_id行へ戻す。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IGH前提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OLGA human_B_heavyを使うため、基本はIGH専用。IGK/IGL混在TSVはlocusフィルタで除外する。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C/WF条件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現行ではjunction_aaの先頭C・末尾W/Fを必須条件にしない。非canonical配列もpGen=0やQCで確認する。</w:t>
            </w:r>
          </w:p>
        </w:tc>
      </w:tr>
    </w:tbl>
    <w:p/>
    <w:p>
      <w:pPr>
        <w:pStyle w:val="Heading1"/>
      </w:pPr>
      <w:r>
        <w:t>3. junction_aaの採用条件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100"/>
        <w:gridCol w:w="2100"/>
        <w:gridCol w:w="5160"/>
      </w:tblGrid>
      <w:tr>
        <w:tc>
          <w:tcPr>
            <w:tcW w:type="dxa" w:w="21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条件</w:t>
            </w:r>
          </w:p>
        </w:tc>
        <w:tc>
          <w:tcPr>
            <w:tcW w:type="dxa" w:w="21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扱い</w:t>
            </w:r>
          </w:p>
        </w:tc>
        <w:tc>
          <w:tcPr>
            <w:tcW w:type="dxa" w:w="51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理由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空欄</w:t>
            </w:r>
          </w:p>
        </w:tc>
        <w:tc>
          <w:tcPr>
            <w:tcW w:type="dxa" w:w="2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除外</w:t>
            </w:r>
          </w:p>
        </w:tc>
        <w:tc>
          <w:tcPr>
            <w:tcW w:type="dxa" w:w="5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OLGAへ渡すCDR3 AA配列がない。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*を含む</w:t>
            </w:r>
          </w:p>
        </w:tc>
        <w:tc>
          <w:tcPr>
            <w:tcW w:type="dxa" w:w="2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除外</w:t>
            </w:r>
          </w:p>
        </w:tc>
        <w:tc>
          <w:tcPr>
            <w:tcW w:type="dxa" w:w="5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stop codonを含むAA配列として扱う。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Xを含む</w:t>
            </w:r>
          </w:p>
        </w:tc>
        <w:tc>
          <w:tcPr>
            <w:tcW w:type="dxa" w:w="2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除外</w:t>
            </w:r>
          </w:p>
        </w:tc>
        <w:tc>
          <w:tcPr>
            <w:tcW w:type="dxa" w:w="5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不明AAを含み、pGen計算の前提が崩れる。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アルファベット以外を含む</w:t>
            </w:r>
          </w:p>
        </w:tc>
        <w:tc>
          <w:tcPr>
            <w:tcW w:type="dxa" w:w="2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除外</w:t>
            </w:r>
          </w:p>
        </w:tc>
        <w:tc>
          <w:tcPr>
            <w:tcW w:type="dxa" w:w="5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AA配列として扱えない。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先頭Cでない / 末尾W/Fでない</w:t>
            </w:r>
          </w:p>
        </w:tc>
        <w:tc>
          <w:tcPr>
            <w:tcW w:type="dxa" w:w="2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除外しない</w:t>
            </w:r>
          </w:p>
        </w:tc>
        <w:tc>
          <w:tcPr>
            <w:tcW w:type="dxa" w:w="5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マージ済み配列由来AIRRでは観測されるため、探索段階では残す。pGen=0やplot除外で扱いを確認する。</w:t>
            </w:r>
          </w:p>
        </w:tc>
      </w:tr>
    </w:tbl>
    <w:p/>
    <w:p>
      <w:pPr>
        <w:pStyle w:val="Heading1"/>
      </w:pPr>
      <w:r>
        <w:t>4. pGen計算手順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900"/>
        <w:gridCol w:w="3300"/>
        <w:gridCol w:w="5160"/>
      </w:tblGrid>
      <w:tr>
        <w:tc>
          <w:tcPr>
            <w:tcW w:type="dxa" w:w="9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順序</w:t>
            </w:r>
          </w:p>
        </w:tc>
        <w:tc>
          <w:tcPr>
            <w:tcW w:type="dxa" w:w="33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処理</w:t>
            </w:r>
          </w:p>
        </w:tc>
        <w:tc>
          <w:tcPr>
            <w:tcW w:type="dxa" w:w="51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再現上の注意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</w:t>
            </w:r>
          </w:p>
        </w:tc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採用行のjunction_aaを大文字化する。</w:t>
            </w:r>
          </w:p>
        </w:tc>
        <w:tc>
          <w:tcPr>
            <w:tcW w:type="dxa" w:w="5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同じ文字列は同じpGenを共有する。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2</w:t>
            </w:r>
          </w:p>
        </w:tc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unique junction_aa一覧を作る。</w:t>
            </w:r>
          </w:p>
        </w:tc>
        <w:tc>
          <w:tcPr>
            <w:tcW w:type="dxa" w:w="5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高速化のため内部ではまとめるが、row-level出力では各sequence_id行を保持する。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3</w:t>
            </w:r>
          </w:p>
        </w:tc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OLGA human_B_heavyモデルを読み込む。</w:t>
            </w:r>
          </w:p>
        </w:tc>
        <w:tc>
          <w:tcPr>
            <w:tcW w:type="dxa" w:w="5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model_params.txt、V_gene_CDR3_anchors.csv、J_gene_CDR3_anchors.csv、model_marginals.txtを使用。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4</w:t>
            </w:r>
          </w:p>
        </w:tc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compute_aa_CDR3_pgen(junction_aa)を実行する。</w:t>
            </w:r>
          </w:p>
        </w:tc>
        <w:tc>
          <w:tcPr>
            <w:tcW w:type="dxa" w:w="5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例外が出た配列はpGen=0として扱う。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5</w:t>
            </w:r>
          </w:p>
        </w:tc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junction_aa -&gt; pGen辞書を作る。</w:t>
            </w:r>
          </w:p>
        </w:tc>
        <w:tc>
          <w:tcPr>
            <w:tcW w:type="dxa" w:w="5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同じjunction_aaには同じpGenを割り当てる。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6</w:t>
            </w:r>
          </w:p>
        </w:tc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各row-level行へpgenとlog10_pgenを付与する。</w:t>
            </w:r>
          </w:p>
        </w:tc>
        <w:tc>
          <w:tcPr>
            <w:tcW w:type="dxa" w:w="5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pGen&gt;0のみlog10_pgenを計算する。pGen=0ではlog10_pgenは空欄/NaN。</w:t>
            </w:r>
          </w:p>
        </w:tc>
      </w:tr>
    </w:tbl>
    <w:p/>
    <w:p>
      <w:pPr>
        <w:pStyle w:val="Heading1"/>
      </w:pPr>
      <w:r>
        <w:t>5. cacheと並列化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200"/>
        <w:gridCol w:w="1500"/>
        <w:gridCol w:w="5660"/>
      </w:tblGrid>
      <w:tr>
        <w:tc>
          <w:tcPr>
            <w:tcW w:type="dxa" w:w="22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設定</w:t>
            </w:r>
          </w:p>
        </w:tc>
        <w:tc>
          <w:tcPr>
            <w:tcW w:type="dxa" w:w="1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既定値</w:t>
            </w:r>
          </w:p>
        </w:tc>
        <w:tc>
          <w:tcPr>
            <w:tcW w:type="dxa" w:w="56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意味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Recalculate all pGen</w:t>
            </w:r>
          </w:p>
        </w:tc>
        <w:tc>
          <w:tcPr>
            <w:tcW w:type="dxa" w:w="1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ON</w:t>
            </w:r>
          </w:p>
        </w:tc>
        <w:tc>
          <w:tcPr>
            <w:tcW w:type="dxa" w:w="5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既存pgen_cache.tsvを読まず、毎回全unique junction_aaを再計算する。正常終了後に新しいcacheへ置き換える。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pgen_cache.tsv</w:t>
            </w:r>
          </w:p>
        </w:tc>
        <w:tc>
          <w:tcPr>
            <w:tcW w:type="dxa" w:w="1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出力フォルダ直下</w:t>
            </w:r>
          </w:p>
        </w:tc>
        <w:tc>
          <w:tcPr>
            <w:tcW w:type="dxa" w:w="5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junction_aaとpGenの対応表。既定では再計算後の保存先として使う。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 workers</w:t>
            </w:r>
          </w:p>
        </w:tc>
        <w:tc>
          <w:tcPr>
            <w:tcW w:type="dxa" w:w="1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6</w:t>
            </w:r>
          </w:p>
        </w:tc>
        <w:tc>
          <w:tcPr>
            <w:tcW w:type="dxa" w:w="5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OLGA計算の並列数。通常作業との両立と安定性を考え、6を推奨する。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use existing cache</w:t>
            </w:r>
          </w:p>
        </w:tc>
        <w:tc>
          <w:tcPr>
            <w:tcW w:type="dxa" w:w="1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OFF</w:t>
            </w:r>
          </w:p>
        </w:tc>
        <w:tc>
          <w:tcPr>
            <w:tcW w:type="dxa" w:w="5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CLIでは--use-pgen-cache指定時のみ既存cacheを利用する。GUI既定では利用しない。</w:t>
            </w:r>
          </w:p>
        </w:tc>
      </w:tr>
    </w:tbl>
    <w:p/>
    <w:p>
      <w:pPr>
        <w:pStyle w:val="Heading1"/>
      </w:pPr>
      <w:r>
        <w:t>6. pGen=0の意味と扱い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200"/>
        <w:gridCol w:w="7160"/>
      </w:tblGrid>
      <w:tr>
        <w:tc>
          <w:tcPr>
            <w:tcW w:type="dxa" w:w="22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項目</w:t>
            </w:r>
          </w:p>
        </w:tc>
        <w:tc>
          <w:tcPr>
            <w:tcW w:type="dxa" w:w="71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仕様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意味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OLGA human_B_heavyモデル上で生成確率0、またはモデル外・例外として扱われた配列。生成されやすい方向ではない。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log10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log10(0)は定義できないため、log10_pgenは空欄/NaN。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row-level表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pgen=0として残す。後から配列例や件数を確認できる。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pGen-SHM plot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scatter/KDE/ROIからは除外する。x軸に置けないため。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典型例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先頭がCでない、末尾がW/Fでない、非常に長いなど、OLGAモデルの想定から外れやすいjunction_aaで見られる。</w:t>
            </w:r>
          </w:p>
        </w:tc>
      </w:tr>
    </w:tbl>
    <w:p/>
    <w:p>
      <w:pPr>
        <w:pStyle w:val="Heading1"/>
      </w:pPr>
      <w:r>
        <w:t>7. pGen bins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500"/>
        <w:gridCol w:w="6860"/>
      </w:tblGrid>
      <w:tr>
        <w:tc>
          <w:tcPr>
            <w:tcW w:type="dxa" w:w="2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bin</w:t>
            </w:r>
          </w:p>
        </w:tc>
        <w:tc>
          <w:tcPr>
            <w:tcW w:type="dxa" w:w="68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扱い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1e-5~1e-10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比較的高pGen。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1e-10~1e-15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中程度から高pGen。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1e-15~1e-20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中程度。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1e-20~1e-25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低pGen。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1e-25~1e-30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より低pGen。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1e-30~1e-35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非常に低pGen。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1e-35~1e-40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極低pGen。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1e-40~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pGen=0または1e-40未満を含む最下位bin。</w:t>
            </w:r>
          </w:p>
        </w:tc>
      </w:tr>
    </w:tbl>
    <w:p/>
    <w:p>
      <w:pPr>
        <w:pStyle w:val="Heading1"/>
      </w:pPr>
      <w:r>
        <w:t>8. 出力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000"/>
        <w:gridCol w:w="6360"/>
      </w:tblGrid>
      <w:tr>
        <w:tc>
          <w:tcPr>
            <w:tcW w:type="dxa" w:w="30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ファイル/列</w:t>
            </w:r>
          </w:p>
        </w:tc>
        <w:tc>
          <w:tcPr>
            <w:tcW w:type="dxa" w:w="63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内容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</w:t>
            </w:r>
          </w:p>
        </w:tc>
        <w:tc>
          <w:tcPr>
            <w:tcW w:type="dxa" w:w="63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OLGAで計算した生成確率。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log10_pgen</w:t>
            </w:r>
          </w:p>
        </w:tc>
        <w:tc>
          <w:tcPr>
            <w:tcW w:type="dxa" w:w="63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pGen&gt;0の場合の常用対数。pGen=0では空欄/NaN。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*_pgen_bins.tsv</w:t>
            </w:r>
          </w:p>
        </w:tc>
        <w:tc>
          <w:tcPr>
            <w:tcW w:type="dxa" w:w="63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binごとのcount_uniqueAA、fraction_uniqueAA、count_weightedReads、fraction_weightedReads。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*_pgen_bins_unique.png</w:t>
            </w:r>
          </w:p>
        </w:tc>
        <w:tc>
          <w:tcPr>
            <w:tcW w:type="dxa" w:w="63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unique junction_aa単位のpGen分布図。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*_pgen_bins_weighted.png</w:t>
            </w:r>
          </w:p>
        </w:tc>
        <w:tc>
          <w:tcPr>
            <w:tcW w:type="dxa" w:w="63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read数またはduplicate_count重みを反映したpGen分布図。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pgen_cache.tsv</w:t>
            </w:r>
          </w:p>
        </w:tc>
        <w:tc>
          <w:tcPr>
            <w:tcW w:type="dxa" w:w="63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junction_aaとpGenの対応表。既定では再計算後に更新される。</w:t>
            </w:r>
          </w:p>
        </w:tc>
      </w:tr>
    </w:tbl>
    <w:p/>
    <w:p>
      <w:pPr>
        <w:pStyle w:val="Heading1"/>
      </w:pPr>
      <w:r>
        <w:t>9. 議論したポイント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500"/>
        <w:gridCol w:w="6860"/>
      </w:tblGrid>
      <w:tr>
        <w:tc>
          <w:tcPr>
            <w:tcW w:type="dxa" w:w="2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論点</w:t>
            </w:r>
          </w:p>
        </w:tc>
        <w:tc>
          <w:tcPr>
            <w:tcW w:type="dxa" w:w="68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現行判断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 callやJ callはpGenに必要か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OLGAのcompute_aa_CDR3_pgenにはjunction_aaのみを渡す。V/J callはpGen計算には使わず、参考列として保持する。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同じjunction_aaの扱い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同じjunction_aaは同じpGenを持つ。計算はunique junction_aaでまとめ、row-level表には各sequence_idへ戻す。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cacheの不安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既定では既存cacheを使わず毎回再計算する。正常終了後にcacheを作り直す。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並列数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10では環境によって停止が見られたため、安定確認済みの6を既定とする。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pGen=0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生成されやすい方向ではなく、最も生成されにくい/モデル外側。表には残しplotから除外する。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Yu Gothic" w:hAnsi="Yu Gothic" w:eastAsia="Yu Gothic"/>
        <w:color w:val="666666"/>
        <w:sz w:val="18"/>
      </w:rPr>
      <w:t>pGen calculation specification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Yu Gothic" w:hAnsi="Yu Gothic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