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Yu Gothic" w:hAnsi="Yu Gothic" w:eastAsia="Yu Gothic"/>
          <w:b/>
          <w:color w:val="000000"/>
          <w:sz w:val="40"/>
        </w:rPr>
        <w:t>TSVからpGen-SHMデータ作成仕様書</w:t>
      </w:r>
    </w:p>
    <w:p>
      <w:pPr>
        <w:spacing w:after="200"/>
      </w:pPr>
      <w:r>
        <w:rPr>
          <w:rFonts w:ascii="Yu Gothic" w:hAnsi="Yu Gothic" w:eastAsia="Yu Gothic"/>
          <w:color w:val="555555"/>
          <w:sz w:val="20"/>
        </w:rPr>
        <w:t>対象: IgBLAST AIRR outfmt 19 TSV / 更新日: 2026-06-09 / 目的: 3仕様書だけで再現可能な引継ぎ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</w:rPr>
              <w:t>本書は全体フローと統合出力の仕様を扱う。pGen計算の詳細はpGen仕様書、SHM計算の詳細はSHM仕様書に分ける。マージ工程の詳細は別フォルダの資料を参照する。</w:t>
            </w:r>
          </w:p>
        </w:tc>
      </w:tr>
    </w:tbl>
    <w:p>
      <w:pPr>
        <w:pStyle w:val="Heading1"/>
      </w:pPr>
      <w:r>
        <w:t>1. 目的と文書の役割</w:t>
      </w:r>
    </w:p>
    <w:p>
      <w:pPr>
        <w:spacing w:after="120"/>
      </w:pPr>
      <w:r>
        <w:t>本GUIの直接入力はFASTAではなく、前段で作成済みのIgBLAST AIRR outfmt 19 TSVである。本書では、AIRR TSVを出発点として、採用フィルタ、row-level Excel/TSV、pGen-SHM plotを再現するための全体仕様を定義する。</w:t>
      </w:r>
    </w:p>
    <w:p>
      <w:pPr>
        <w:spacing w:after="120"/>
      </w:pPr>
      <w:r>
        <w:t>中心データは、フィルタ後のAIRR各行を原則sequence_id単位で保持するrow-level Excel/TSVである。同じjunction_aaでもSHMが異なる可能性があるため、主解析ではmedianに潰さず、まず各行を残す。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4300"/>
        <w:gridCol w:w="2560"/>
      </w:tblGrid>
      <w:tr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文書</w:t>
            </w:r>
          </w:p>
        </w:tc>
        <w:tc>
          <w:tcPr>
            <w:tcW w:type="dxa" w:w="43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主な役割</w:t>
            </w:r>
          </w:p>
        </w:tc>
        <w:tc>
          <w:tcPr>
            <w:tcW w:type="dxa" w:w="25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この文書との関係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TSVからpGen-SHMデータ作成仕様書</w:t>
            </w:r>
          </w:p>
        </w:tc>
        <w:tc>
          <w:tcPr>
            <w:tcW w:type="dxa" w:w="4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全体フロー、採用フィルタ、row-level中心データ、pGen-SHM図表、議論点を記載する。</w:t>
            </w:r>
          </w:p>
        </w:tc>
        <w:tc>
          <w:tcPr>
            <w:tcW w:type="dxa" w:w="25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本書。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TSVからpGenデータ作成仕様書</w:t>
            </w:r>
          </w:p>
        </w:tc>
        <w:tc>
          <w:tcPr>
            <w:tcW w:type="dxa" w:w="4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junction_aaからOLGA human_B_heavyでpGenを計算する詳細を記載する。</w:t>
            </w:r>
          </w:p>
        </w:tc>
        <w:tc>
          <w:tcPr>
            <w:tcW w:type="dxa" w:w="25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pGen列、log10_pGen列、pGen bins、pGen=0の意味を参照する。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TSVからSHMデータ作成仕様書</w:t>
            </w:r>
          </w:p>
        </w:tc>
        <w:tc>
          <w:tcPr>
            <w:tcW w:type="dxa" w:w="4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v_identityからSHMを計算する詳細を記載する。</w:t>
            </w:r>
          </w:p>
        </w:tc>
        <w:tc>
          <w:tcPr>
            <w:tcW w:type="dxa" w:w="25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SHM列、SHM histogram、V alignment lengthの扱いを参照する。</w:t>
            </w:r>
          </w:p>
        </w:tc>
      </w:tr>
    </w:tbl>
    <w:p/>
    <w:p>
      <w:pPr>
        <w:pStyle w:val="Heading1"/>
      </w:pPr>
      <w:r>
        <w:t>2. 全体フロー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00"/>
        <w:gridCol w:w="2500"/>
        <w:gridCol w:w="3100"/>
        <w:gridCol w:w="2860"/>
      </w:tblGrid>
      <w:tr>
        <w:tc>
          <w:tcPr>
            <w:tcW w:type="dxa" w:w="9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段階</w:t>
            </w:r>
          </w:p>
        </w:tc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処理</w:t>
            </w:r>
          </w:p>
        </w:tc>
        <w:tc>
          <w:tcPr>
            <w:tcW w:type="dxa" w:w="31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本仕様での位置づけ</w:t>
            </w:r>
          </w:p>
        </w:tc>
        <w:tc>
          <w:tcPr>
            <w:tcW w:type="dxa" w:w="2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主な出力・確認点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0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マージした配列を作成する。</w:t>
            </w:r>
          </w:p>
        </w:tc>
        <w:tc>
          <w:tcPr>
            <w:tcW w:type="dxa" w:w="3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本GUIの前段。ここでは詳細を扱わない。</w:t>
            </w:r>
          </w:p>
        </w:tc>
        <w:tc>
          <w:tcPr>
            <w:tcW w:type="dxa" w:w="2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別フォルダ資料を参照。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マージ済み配列をIgBLAST AIRR outfmt 19 TSVにする。</w:t>
            </w:r>
          </w:p>
        </w:tc>
        <w:tc>
          <w:tcPr>
            <w:tcW w:type="dxa" w:w="3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本GUIの入力データを準備する段階。</w:t>
            </w:r>
          </w:p>
        </w:tc>
        <w:tc>
          <w:tcPr>
            <w:tcW w:type="dxa" w:w="2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*.igblast.airr.tsv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2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AIRR TSVをGUIで選ぶ。</w:t>
            </w:r>
          </w:p>
        </w:tc>
        <w:tc>
          <w:tcPr>
            <w:tcW w:type="dxa" w:w="3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本GUI解析の出発点。</w:t>
            </w:r>
          </w:p>
        </w:tc>
        <w:tc>
          <w:tcPr>
            <w:tcW w:type="dxa" w:w="2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sample名、output folder、pGen cache、workers等を確認。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3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採用フィルタを適用する。</w:t>
            </w:r>
          </w:p>
        </w:tc>
        <w:tc>
          <w:tcPr>
            <w:tcW w:type="dxa" w:w="3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pGen/SHM計算に使うAIRR行を決める。</w:t>
            </w:r>
          </w:p>
        </w:tc>
        <w:tc>
          <w:tcPr>
            <w:tcW w:type="dxa" w:w="2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*_qc_summary.tsv と run logに件数を記録。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4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pGenとSHMを計算する。</w:t>
            </w:r>
          </w:p>
        </w:tc>
        <w:tc>
          <w:tcPr>
            <w:tcW w:type="dxa" w:w="3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pGenはjunction_aa、SHMはv_identityから計算する。</w:t>
            </w:r>
          </w:p>
        </w:tc>
        <w:tc>
          <w:tcPr>
            <w:tcW w:type="dxa" w:w="2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詳細は別2文書。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5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 Excel/TSVを作成する。</w:t>
            </w:r>
          </w:p>
        </w:tc>
        <w:tc>
          <w:tcPr>
            <w:tcW w:type="dxa" w:w="3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中心データ。フィルタ後の採用AIRR各行を潰さず保持する。</w:t>
            </w:r>
          </w:p>
        </w:tc>
        <w:tc>
          <w:tcPr>
            <w:tcW w:type="dxa" w:w="2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*_pgen_shm_rows.xlsx, *_pgen_shm_points.tsv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6</w:t>
            </w:r>
          </w:p>
        </w:tc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pGen、SHM、pGen-SHM図表を作成する。</w:t>
            </w:r>
          </w:p>
        </w:tc>
        <w:tc>
          <w:tcPr>
            <w:tcW w:type="dxa" w:w="31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中心データから複数の見方を出す。</w:t>
            </w:r>
          </w:p>
        </w:tc>
        <w:tc>
          <w:tcPr>
            <w:tcW w:type="dxa" w:w="2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scatter、KDE、weighted、log-density、Beta1互換、ROI summary。</w:t>
            </w:r>
          </w:p>
        </w:tc>
      </w:tr>
    </w:tbl>
    <w:p/>
    <w:p>
      <w:pPr>
        <w:pStyle w:val="Heading1"/>
      </w:pPr>
      <w:r>
        <w:t>3. 入力AIRR TSV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300"/>
        <w:gridCol w:w="3000"/>
        <w:gridCol w:w="5060"/>
      </w:tblGrid>
      <w:tr>
        <w:tc>
          <w:tcPr>
            <w:tcW w:type="dxa" w:w="13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区分</w:t>
            </w:r>
          </w:p>
        </w:tc>
        <w:tc>
          <w:tcPr>
            <w:tcW w:type="dxa" w:w="30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列名</w:t>
            </w:r>
          </w:p>
        </w:tc>
        <w:tc>
          <w:tcPr>
            <w:tcW w:type="dxa" w:w="50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用途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必須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productive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採用対象の主判定。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必須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CDR3 nucleotide配列。塩基配列として妥当かを確認し、Beta1互換点の単位にも使う。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必須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pGen計算に使うCDR3 amino acid配列。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必須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SHM計算に使うV領域identity。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任意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locus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IGH以外の除外、空欄locusのQC記録に使う。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任意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vj_in_frame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productive判定の内訳確認。列がある場合だけ使う。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任意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stop_codon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productive判定の内訳確認。列がある場合だけ使う。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任意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v_sequence_alignment / v_alignment_start / v_alignment_end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 alignment lengthの算出に使う。Min V alignment lengthが0なら除外条件にはしない。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任意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duplicate_count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GUIで指定した場合のみweighted出力の重みに使う。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任意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sequence_id, v_call, j_call</w:t>
            </w:r>
          </w:p>
        </w:tc>
        <w:tc>
          <w:tcPr>
            <w:tcW w:type="dxa" w:w="5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 Excel/TSVに参考情報として残す。sequence_id欠損時はrow番号由来IDを補う。</w:t>
            </w:r>
          </w:p>
        </w:tc>
      </w:tr>
    </w:tbl>
    <w:p/>
    <w:p>
      <w:pPr>
        <w:pStyle w:val="Heading1"/>
      </w:pPr>
      <w:r>
        <w:t>4. 採用フィルタ</w:t>
      </w:r>
    </w:p>
    <w:p>
      <w:r>
        <w:t>フィルタは、IgBLAST AIRR TSVの行を、pGen/SHM計算に使えるIGH productive行へ絞るための条件である。pGen=0はこの採用フィルタではなく、計算後のplot除外条件である。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700"/>
        <w:gridCol w:w="3900"/>
        <w:gridCol w:w="3760"/>
      </w:tblGrid>
      <w:tr>
        <w:tc>
          <w:tcPr>
            <w:tcW w:type="dxa" w:w="17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フィルタ</w:t>
            </w:r>
          </w:p>
        </w:tc>
        <w:tc>
          <w:tcPr>
            <w:tcW w:type="dxa" w:w="39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採用条件</w:t>
            </w:r>
          </w:p>
        </w:tc>
        <w:tc>
          <w:tcPr>
            <w:tcW w:type="dxa" w:w="37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補足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locus</w:t>
            </w:r>
          </w:p>
        </w:tc>
        <w:tc>
          <w:tcPr>
            <w:tcW w:type="dxa" w:w="3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基本はIGH。locus列があり値がIGH以外なら除外。空欄locusは保持しQCに記録。</w:t>
            </w:r>
          </w:p>
        </w:tc>
        <w:tc>
          <w:tcPr>
            <w:tcW w:type="dxa" w:w="3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 human_B_heavyを使うため、IGK/IGL混在は警告・除外対象。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productive</w:t>
            </w:r>
          </w:p>
        </w:tc>
        <w:tc>
          <w:tcPr>
            <w:tcW w:type="dxa" w:w="3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productive == Tを主条件として採用。</w:t>
            </w:r>
          </w:p>
        </w:tc>
        <w:tc>
          <w:tcPr>
            <w:tcW w:type="dxa" w:w="3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IgBLAST/AIRRの総合判定。V-J in-frame、stop codonなし等を反映する。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vj_in_frame</w:t>
            </w:r>
          </w:p>
        </w:tc>
        <w:tc>
          <w:tcPr>
            <w:tcW w:type="dxa" w:w="3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列がある場合のみTを採用。</w:t>
            </w:r>
          </w:p>
        </w:tc>
        <w:tc>
          <w:tcPr>
            <w:tcW w:type="dxa" w:w="3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productive判定の内訳確認。独立した主フィルタではなく、矛盾行を除く補助確認。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stop_codon</w:t>
            </w:r>
          </w:p>
        </w:tc>
        <w:tc>
          <w:tcPr>
            <w:tcW w:type="dxa" w:w="3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列がある場合のみFまたはFalseを採用。</w:t>
            </w:r>
          </w:p>
        </w:tc>
        <w:tc>
          <w:tcPr>
            <w:tcW w:type="dxa" w:w="3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productive判定の内訳確認。独立した主フィルタではなく、矛盾行を除く補助確認。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</w:t>
            </w:r>
          </w:p>
        </w:tc>
        <w:tc>
          <w:tcPr>
            <w:tcW w:type="dxa" w:w="3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空欄不可。A/C/G/Tのみの配列を採用。</w:t>
            </w:r>
          </w:p>
        </w:tc>
        <w:tc>
          <w:tcPr>
            <w:tcW w:type="dxa" w:w="3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Nや不明文字を含むjunctionは除外。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</w:t>
            </w:r>
          </w:p>
        </w:tc>
        <w:tc>
          <w:tcPr>
            <w:tcW w:type="dxa" w:w="3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空欄不可。*、Xを含まず、アルファベットのみの配列を採用。</w:t>
            </w:r>
          </w:p>
        </w:tc>
        <w:tc>
          <w:tcPr>
            <w:tcW w:type="dxa" w:w="3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現行では先頭C・末尾W/Fを必須条件にしない。非canonical配列は探索段階では残す。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</w:t>
            </w:r>
          </w:p>
        </w:tc>
        <w:tc>
          <w:tcPr>
            <w:tcW w:type="dxa" w:w="3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数値として読める行を採用。</w:t>
            </w:r>
          </w:p>
        </w:tc>
        <w:tc>
          <w:tcPr>
            <w:tcW w:type="dxa" w:w="3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SHM計算の必須列。欠損・非数値は除外。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 alignment length</w:t>
            </w:r>
          </w:p>
        </w:tc>
        <w:tc>
          <w:tcPr>
            <w:tcW w:type="dxa" w:w="3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GUIのMin V alignment lengthが0より大きい場合のみ適用。</w:t>
            </w:r>
          </w:p>
        </w:tc>
        <w:tc>
          <w:tcPr>
            <w:tcW w:type="dxa" w:w="37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デフォルト0では除外しない。短いV alignmentはSHMの不安定要因として後で判断する。</w:t>
            </w:r>
          </w:p>
        </w:tc>
      </w:tr>
    </w:tbl>
    <w:p/>
    <w:p>
      <w:pPr>
        <w:pStyle w:val="Heading1"/>
      </w:pPr>
      <w:r>
        <w:t>5. row-level Excel/TSV</w:t>
      </w:r>
    </w:p>
    <w:p>
      <w:r>
        <w:t>row-level Excel/TSVは本解析の中心データである。内部ではunique junction_aaごとにpGenをまとめて計算しても、出力ではフィルタ後のAIRR各行をsequence_id単位で保持する。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900"/>
        <w:gridCol w:w="3600"/>
        <w:gridCol w:w="3860"/>
      </w:tblGrid>
      <w:tr>
        <w:tc>
          <w:tcPr>
            <w:tcW w:type="dxa" w:w="19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列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意味</w:t>
            </w:r>
          </w:p>
        </w:tc>
        <w:tc>
          <w:tcPr>
            <w:tcW w:type="dxa" w:w="3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再現上の注意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sequence_id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採用AIRR行のID。欠損時はrow番号由来IDを補う。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1行=原則1 sequence_id。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pGen計算に使うCDR3 AA配列。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同じjunction_aaでも別行として残す。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v_identityから計算した%Mutation。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同じjunction_aaでもSHMは異なり得る。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OLGA human_B_heavyで計算したpGen。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同じjunction_aaは同じpGen。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log10_pgen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pGenの常用対数。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pGen=0では空欄/NaNとなりplotから除外。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CDR3 nucleotide配列。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Beta1互換出力ではunique junction単位の集約に使う。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v_identity, locus, productive, v_call, j_call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AIRR由来の参考列。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後からフィルタ妥当性や生物学的解釈を確認するため残す。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same_xy_count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同一log10_pgenとSHM座標を持つrow数。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完全同一座標の重なり確認用。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plot_weight</w:t>
            </w:r>
          </w:p>
        </w:tc>
        <w:tc>
          <w:tcPr>
            <w:tcW w:type="dxa" w:w="36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plotで使う重み。通常は1、duplicate_count使用時はその値。</w:t>
            </w:r>
          </w:p>
        </w:tc>
        <w:tc>
          <w:tcPr>
            <w:tcW w:type="dxa" w:w="3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weighted KDEやweighted scatterに反映。</w:t>
            </w:r>
          </w:p>
        </w:tc>
      </w:tr>
    </w:tbl>
    <w:p/>
    <w:p>
      <w:pPr>
        <w:pStyle w:val="Heading1"/>
      </w:pPr>
      <w:r>
        <w:t>6. pGen-SHM plotの作成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900"/>
        <w:gridCol w:w="7460"/>
      </w:tblGrid>
      <w:tr>
        <w:tc>
          <w:tcPr>
            <w:tcW w:type="dxa" w:w="19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項目</w:t>
            </w:r>
          </w:p>
        </w:tc>
        <w:tc>
          <w:tcPr>
            <w:tcW w:type="dxa" w:w="74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仕様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x軸</w:t>
            </w:r>
          </w:p>
        </w:tc>
        <w:tc>
          <w:tcPr>
            <w:tcW w:type="dxa" w:w="74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log10(pGen)。デフォルト表示範囲は-30から-5。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y軸</w:t>
            </w:r>
          </w:p>
        </w:tc>
        <w:tc>
          <w:tcPr>
            <w:tcW w:type="dxa" w:w="74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SHM(%Mutation)。デフォルト表示範囲は0から15。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主データ</w:t>
            </w:r>
          </w:p>
        </w:tc>
        <w:tc>
          <w:tcPr>
            <w:tcW w:type="dxa" w:w="74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 Excel/TSVの採用行。pGen&gt;0かつ表示範囲内の点を描画対象にする。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pGen=0</w:t>
            </w:r>
          </w:p>
        </w:tc>
        <w:tc>
          <w:tcPr>
            <w:tcW w:type="dxa" w:w="74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 Excel/TSVには残すが、log10(0)が定義できないためscatter/KDE plotから除外する。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KDE</w:t>
            </w:r>
          </w:p>
        </w:tc>
        <w:tc>
          <w:tcPr>
            <w:tcW w:type="dxa" w:w="74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SciPy gaussian_kdeを使用し、bandwidthはScott factor x GUI指定値。デフォルト0.8。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weighted</w:t>
            </w:r>
          </w:p>
        </w:tc>
        <w:tc>
          <w:tcPr>
            <w:tcW w:type="dxa" w:w="74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通常はrow数を重みとし、duplicate_count使用時はduplicate_countを重みにできる。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log-density KDE</w:t>
            </w:r>
          </w:p>
        </w:tc>
        <w:tc>
          <w:tcPr>
            <w:tcW w:type="dxa" w:w="74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低密度だが意味のある集団を見落とさないための補助図。主図候補は通常KDEやweighted KDEと併用して判断する。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scatter</w:t>
            </w:r>
          </w:p>
        </w:tc>
        <w:tc>
          <w:tcPr>
            <w:tcW w:type="dxa" w:w="74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KDEで消えやすい低密度点や、同一座標の重なりを確認するために使う。</w:t>
            </w:r>
          </w:p>
        </w:tc>
      </w:tr>
    </w:tbl>
    <w:p/>
    <w:p>
      <w:pPr>
        <w:pStyle w:val="Heading1"/>
      </w:pPr>
      <w:r>
        <w:t>7. 出力ファイル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300"/>
        <w:gridCol w:w="3400"/>
        <w:gridCol w:w="2660"/>
      </w:tblGrid>
      <w:tr>
        <w:tc>
          <w:tcPr>
            <w:tcW w:type="dxa" w:w="33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ファイル</w:t>
            </w:r>
          </w:p>
        </w:tc>
        <w:tc>
          <w:tcPr>
            <w:tcW w:type="dxa" w:w="34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内容</w:t>
            </w:r>
          </w:p>
        </w:tc>
        <w:tc>
          <w:tcPr>
            <w:tcW w:type="dxa" w:w="26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確認目的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*_qc_summary.tsv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総行数、除外数、採用数、列の有無など。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フィルタが想定通りか確認する。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*_pgen_shm_rows.xlsx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row-level中心データ。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Excelで各sequence_idを確認する。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*_pgen_shm_points.tsv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row-level中心データのTSV版。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再解析・外部解析用。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*_pgen_bins.tsv / *_pgen_bins_*.png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 binごとのunique AA数とweighted read数。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pGen分布の確認。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*_shm_hist.tsv / *_shm_hist*.png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 binごとの分布。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SHM単独分布の確認。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*_pgen_shm_scatter_reads.png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 scatter。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点の存在確認。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*_pgen_shm_kde_unweighted.png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 KDE。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通常の密度分布確認。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*_pgen_shm_kde_weighted.png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 weighted KDE。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観測read量を反映した主図候補。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*_pgen_shm_kde_log_density.png / *_weighted_log_density.png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log-density KDE。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低密度集団の確認。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*_pgen_shm_beta1_unique_junction_points.tsv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unique junction単位、SHM medianのBeta1互換点。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前任者法・旧Beta1との比較。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*_pgen_shm_kde_beta1_unique_junction_*.png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Beta1互換KDE。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多様性寄りの見え方との比較。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*_pgen_shm_roi_summary.tsv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既定ROIごとの件数・割合・中央値など。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図の色だけでなく数値で領域を確認する。</w:t>
            </w:r>
          </w:p>
        </w:tc>
      </w:tr>
      <w:tr>
        <w:tc>
          <w:tcPr>
            <w:tcW w:type="dxa" w:w="33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*_run_log.txt</w:t>
            </w:r>
          </w:p>
        </w:tc>
        <w:tc>
          <w:tcPr>
            <w:tcW w:type="dxa" w:w="34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実行ログ。</w:t>
            </w:r>
          </w:p>
        </w:tc>
        <w:tc>
          <w:tcPr>
            <w:tcW w:type="dxa" w:w="26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pGen計算件数、pGen=0件数、出力先の確認。</w:t>
            </w:r>
          </w:p>
        </w:tc>
      </w:tr>
    </w:tbl>
    <w:p/>
    <w:p>
      <w:pPr>
        <w:pStyle w:val="Heading1"/>
      </w:pPr>
      <w:r>
        <w:t>8. 既定ROI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800"/>
        <w:gridCol w:w="3500"/>
        <w:gridCol w:w="3060"/>
      </w:tblGrid>
      <w:tr>
        <w:tc>
          <w:tcPr>
            <w:tcW w:type="dxa" w:w="28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ROI名</w:t>
            </w:r>
          </w:p>
        </w:tc>
        <w:tc>
          <w:tcPr>
            <w:tcW w:type="dxa" w:w="3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条件</w:t>
            </w:r>
          </w:p>
        </w:tc>
        <w:tc>
          <w:tcPr>
            <w:tcW w:type="dxa" w:w="30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意図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beta1_low_shm_high_pgen</w:t>
            </w:r>
          </w:p>
        </w:tc>
        <w:tc>
          <w:tcPr>
            <w:tcW w:type="dxa" w:w="3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-16 &lt; log10_pgen &lt; -9 and 0 &lt;= SHM &lt; 2</w:t>
            </w:r>
          </w:p>
        </w:tc>
        <w:tc>
          <w:tcPr>
            <w:tcW w:type="dxa" w:w="3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旧Beta1資料で議論した低SHM・高pGen領域。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low_shm_core</w:t>
            </w:r>
          </w:p>
        </w:tc>
        <w:tc>
          <w:tcPr>
            <w:tcW w:type="dxa" w:w="3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-15 &lt;= log10_pgen &lt; -10 and 0 &lt;= SHM &lt; 2</w:t>
            </w:r>
          </w:p>
        </w:tc>
        <w:tc>
          <w:tcPr>
            <w:tcW w:type="dxa" w:w="3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より保守的な低SHM中心領域。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low_shm_broad</w:t>
            </w:r>
          </w:p>
        </w:tc>
        <w:tc>
          <w:tcPr>
            <w:tcW w:type="dxa" w:w="3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-16 &lt;= log10_pgen &lt; -5 and 0 &lt;= SHM &lt; 3</w:t>
            </w:r>
          </w:p>
        </w:tc>
        <w:tc>
          <w:tcPr>
            <w:tcW w:type="dxa" w:w="3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低SHM領域を広めに確認する補助領域。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main_mid_high_shm_reference</w:t>
            </w:r>
          </w:p>
        </w:tc>
        <w:tc>
          <w:tcPr>
            <w:tcW w:type="dxa" w:w="3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-21 &lt;= log10_pgen &lt; -10 and 5 &lt;= SHM &lt; 15</w:t>
            </w:r>
          </w:p>
        </w:tc>
        <w:tc>
          <w:tcPr>
            <w:tcW w:type="dxa" w:w="30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中から高SHMの主集団参照。</w:t>
            </w:r>
          </w:p>
        </w:tc>
      </w:tr>
    </w:tbl>
    <w:p/>
    <w:p>
      <w:pPr>
        <w:pStyle w:val="Heading1"/>
      </w:pPr>
      <w:r>
        <w:t>9. 議論したポイントと現行判断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6860"/>
      </w:tblGrid>
      <w:tr>
        <w:tc>
          <w:tcPr>
            <w:tcW w:type="dxa" w:w="25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論点</w:t>
            </w:r>
          </w:p>
        </w:tc>
        <w:tc>
          <w:tcPr>
            <w:tcW w:type="dxa" w:w="68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現行判断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各sequence_idを潰すか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主解析はrow-levelで保持する。同じjunction_aaでもSHMが異なるため、median化は主解析では行わない。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同一座標が複数ある場合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row-level Excel/TSVでは各行を保持し、描画時はsame_xy_count/plot_weightで重なりや重みを表す。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Beta1互換出力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前任者法との比較用に残す。unique junction単位、SHM medianであり、主解析とは区別する。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KDEの見え方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linear KDEは主集団を強調し低密度集団が見えにくいことがある。scatterとlog-density KDEを併用する。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weighted KDE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観測read量を反映するため生物学的主図候補になり得るが、PCR増幅やsamplingの影響も受ける。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pGen=0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生成されやすい方向ではなく、OLGA上0またはモデル外。plotから除外し、row-level表には残す。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junction_aaの先頭C/末尾W/F</w:t>
            </w:r>
          </w:p>
        </w:tc>
        <w:tc>
          <w:tcPr>
            <w:tcW w:type="dxa" w:w="68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現行では必須条件にしない。マージ済み配列由来AIRRでは非canonicalな配列も探索対象として残す。</w:t>
            </w:r>
          </w:p>
        </w:tc>
      </w:tr>
    </w:tbl>
    <w:p/>
    <w:p>
      <w:pPr>
        <w:pStyle w:val="Heading1"/>
      </w:pPr>
      <w:r>
        <w:t>10. 再現チェックリスト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200"/>
        <w:gridCol w:w="7160"/>
      </w:tblGrid>
      <w:tr>
        <w:tc>
          <w:tcPr>
            <w:tcW w:type="dxa" w:w="220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確認</w:t>
            </w:r>
          </w:p>
        </w:tc>
        <w:tc>
          <w:tcPr>
            <w:tcW w:type="dxa" w:w="7160"/>
            <w:vAlign w:val="center"/>
            <w:shd w:fill="E8EEF5"/>
          </w:tcPr>
          <w:p>
            <w:r/>
            <w:r>
              <w:rPr>
                <w:rFonts w:ascii="Yu Gothic" w:hAnsi="Yu Gothic" w:eastAsia="Yu Gothic"/>
                <w:b/>
              </w:rPr>
              <w:t>期待される状態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入力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IgBLAST AIRR outfmt 19 TSVを選んでいる。FASTAを直接入力していない。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Check setup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numpy, matplotlib, scipy, olga, openpyxlとOLGA human_B_heavyが利用可能。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 cache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デフォルトはRecalculate all pGen ON。既存cacheを信用せず再計算する。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 workers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通常は6。10など高い値は環境によって停止する可能性がある。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フィルタ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*_qc_summary.tsvとrun logで除外件数と採用件数を確認する。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中心データ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*_pgen_shm_rows.xlsxの行数がフィルタ後採用行数と一致する。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plot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pGen=0行は表に残るが、pGen-SHM plotには出ない。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解釈</w:t>
            </w:r>
          </w:p>
        </w:tc>
        <w:tc>
          <w:tcPr>
            <w:tcW w:type="dxa" w:w="7160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</w:rPr>
              <w:t>主図だけで判断せず、scatter、weighted KDE、log-density KDE、ROI summaryを併用する。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Yu Gothic" w:hAnsi="Yu Gothic" w:eastAsia="Yu Gothic"/>
        <w:color w:val="666666"/>
        <w:sz w:val="18"/>
      </w:rPr>
      <w:t>pGen-SHM workflow specification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Yu Gothic" w:hAnsi="Yu Gothic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