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Chapter 3 Transport Layer</w:t>
      </w:r>
    </w:p>
    <w:p>
      <w:pPr>
        <w:spacing w:after="8" w:before="0"/>
        <w:jc w:val="center"/>
      </w:pPr>
      <w:r>
        <w:rPr>
          <w:rFonts w:ascii="Arial" w:cs="Arial" w:eastAsia="Arial" w:hAnsi="Arial"/>
          <w:b/>
          <w:bCs/>
          <w:color w:val="0D3B6E"/>
          <w:sz w:val="40"/>
          <w:szCs w:val="40"/>
        </w:rPr>
        <w:t xml:space="preserve">3.6 &amp; 3.7  拥塞控制 · Congestion Control</w:t>
      </w:r>
    </w:p>
    <w:p>
      <w:pPr>
        <w:pBdr>
          <w:bottom w:val="single" w:color="1A6FA8" w:sz="10" w:space="1"/>
        </w:pBdr>
        <w:spacing w:after="20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精炼学习笔记  |  Study Notes  |  中英双语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hd w:fill="0D3B6E" w:val="clear"/>
        <w:spacing w:after="100" w:before="2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3.6  Principles of Congestion Control   拥塞控制原理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核心概念 | Core Concept：</w:t>
            </w:r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  拥塞 (Congestion) = 网络中有过多数据源以过高速率发送数据，导致路由器缓存溢出、分组丢失与时延激增。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Congestion: too many sources sending data at too high a rate → router buffer overflow → packet loss &amp; large delays.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1A6FA8" w:sz="8" w:space="1"/>
        </w:pBdr>
        <w:spacing w:after="80" w:before="200"/>
      </w:pPr>
      <w:r>
        <w:rPr>
          <w:rFonts w:ascii="Arial" w:cs="Arial" w:eastAsia="Arial" w:hAnsi="Arial"/>
          <w:b/>
          <w:bCs/>
          <w:color w:val="0D3B6E"/>
          <w:sz w:val="26"/>
          <w:szCs w:val="26"/>
        </w:rPr>
        <w:t xml:space="preserve">3.6.1  拥塞的代价与原因  |  Causes and Costs of Congestion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0D3B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场景 Scenario</w:t>
            </w:r>
          </w:p>
        </w:tc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0D3B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条件 Setup</w:t>
            </w:r>
          </w:p>
        </w:tc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0D3B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代价 Cost</w:t>
            </w:r>
          </w:p>
        </w:tc>
        <w:tc>
          <w:tcPr>
            <w:tcW w:type="dxa" w:w="24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0D3B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关键结论 Key Insight</w:t>
            </w:r>
          </w:p>
        </w:tc>
      </w:tr>
      <w:tr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18"/>
                <w:szCs w:val="18"/>
              </w:rPr>
              <w:t xml:space="preserve">① 两发送方
无限缓存</w:t>
            </w:r>
          </w:p>
        </w:tc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2 senders
Infinite buffer</w:t>
            </w:r>
          </w:p>
        </w:tc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排队延迟→∞
Large queueing delay</w:t>
            </w:r>
          </w:p>
        </w:tc>
        <w:tc>
          <w:tcPr>
            <w:tcW w:type="dxa" w:w="24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吞吐上限 R/2，但时延无上界</w:t>
            </w:r>
          </w:p>
        </w:tc>
      </w:tr>
      <w:tr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18"/>
                <w:szCs w:val="18"/>
              </w:rPr>
              <w:t xml:space="preserve">② 两发送方
有限缓存</w:t>
            </w:r>
          </w:p>
        </w:tc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2 senders
Finite buffer + retransmit</w:t>
            </w:r>
          </w:p>
        </w:tc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带宽被重传浪费
Bandwidth wasted on retx</w:t>
            </w:r>
          </w:p>
        </w:tc>
        <w:tc>
          <w:tcPr>
            <w:tcW w:type="dxa" w:w="24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不必要重传使有效吞吐 ≪ R/2</w:t>
            </w:r>
          </w:p>
        </w:tc>
      </w:tr>
      <w:tr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18"/>
                <w:szCs w:val="18"/>
              </w:rPr>
              <w:t xml:space="preserve">③ 四发送方
多跳路径</w:t>
            </w:r>
          </w:p>
        </w:tc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4 senders
Multihop, finite buffer</w:t>
            </w:r>
          </w:p>
        </w:tc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上游带宽全部无效
Upstream work wasted</w:t>
            </w:r>
          </w:p>
        </w:tc>
        <w:tc>
          <w:tcPr>
            <w:tcW w:type="dxa" w:w="24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高负载时端到端吞吐→0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2A38"/>
          <w:sz w:val="20"/>
          <w:szCs w:val="20"/>
        </w:rPr>
        <w:t xml:space="preserve">▶ 三大代价总结  Three Costs of Congestion：</w:t>
      </w:r>
    </w:p>
    <w:p>
      <w:pPr>
        <w:spacing w:after="50" w:before="0"/>
        <w:ind w:left="360" w:hanging="240"/>
      </w:pPr>
      <w:r>
        <w:rPr>
          <w:rFonts w:ascii="Arial" w:cs="Arial" w:eastAsia="Arial" w:hAnsi="Arial"/>
          <w:b/>
          <w:bCs/>
          <w:color w:val="1A6FA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E2A38"/>
          <w:sz w:val="20"/>
          <w:szCs w:val="20"/>
        </w:rPr>
        <w:t xml:space="preserve">大排队延迟（Large queueing delays near link capacity）</w:t>
      </w:r>
    </w:p>
    <w:p>
      <w:pPr>
        <w:spacing w:after="50" w:before="0"/>
        <w:ind w:left="360" w:hanging="240"/>
      </w:pPr>
      <w:r>
        <w:rPr>
          <w:rFonts w:ascii="Arial" w:cs="Arial" w:eastAsia="Arial" w:hAnsi="Arial"/>
          <w:b/>
          <w:bCs/>
          <w:color w:val="1A6FA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E2A38"/>
          <w:sz w:val="20"/>
          <w:szCs w:val="20"/>
        </w:rPr>
        <w:t xml:space="preserve">需要重传浪费带宽（Retransmissions waste bandwidth when packets dropped）</w:t>
      </w:r>
    </w:p>
    <w:p>
      <w:pPr>
        <w:spacing w:after="50" w:before="0"/>
        <w:ind w:left="360" w:hanging="240"/>
      </w:pPr>
      <w:r>
        <w:rPr>
          <w:rFonts w:ascii="Arial" w:cs="Arial" w:eastAsia="Arial" w:hAnsi="Arial"/>
          <w:b/>
          <w:bCs/>
          <w:color w:val="1A6FA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E2A38"/>
          <w:sz w:val="20"/>
          <w:szCs w:val="20"/>
        </w:rPr>
        <w:t xml:space="preserve">多跳时上游资源全部白费（Upstream router capacity wasted when packet dropped downstream）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1A6FA8" w:sz="8" w:space="1"/>
        </w:pBdr>
        <w:spacing w:after="80" w:before="200"/>
      </w:pPr>
      <w:r>
        <w:rPr>
          <w:rFonts w:ascii="Arial" w:cs="Arial" w:eastAsia="Arial" w:hAnsi="Arial"/>
          <w:b/>
          <w:bCs/>
          <w:color w:val="0D3B6E"/>
          <w:sz w:val="26"/>
          <w:szCs w:val="26"/>
        </w:rPr>
        <w:t xml:space="preserve">3.6.2  拥塞控制方法  |  Approaches to Congestion Control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端到端拥塞控制
End-to-End CC</w:t>
            </w:r>
          </w:p>
        </w:tc>
        <w:tc>
          <w:tcPr>
            <w:tcW w:type="dxa" w:w="45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网络辅助拥塞控制
Network-Assisted CC</w:t>
            </w:r>
          </w:p>
        </w:tc>
      </w:tr>
      <w:tr>
        <w:tc>
          <w:tcPr>
            <w:tcW w:type="dxa" w:w="45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19"/>
                <w:szCs w:val="19"/>
              </w:rPr>
              <w:t xml:space="preserve">网络层不提供显式反馈
No explicit network feedback</w:t>
            </w:r>
          </w:p>
        </w:tc>
        <w:tc>
          <w:tcPr>
            <w:tcW w:type="dxa" w:w="45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19"/>
                <w:szCs w:val="19"/>
              </w:rPr>
              <w:t xml:space="preserve">路由器主动提供拥塞状态
Routers provide explicit feedback</w:t>
            </w:r>
          </w:p>
        </w:tc>
      </w:tr>
      <w:tr>
        <w:tc>
          <w:tcPr>
            <w:tcW w:type="dxa" w:w="45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19"/>
                <w:szCs w:val="19"/>
              </w:rPr>
              <w:t xml:space="preserve">端系统从丢包/时延自行推断
Inferred from packet loss or delay</w:t>
            </w:r>
          </w:p>
        </w:tc>
        <w:tc>
          <w:tcPr>
            <w:tcW w:type="dxa" w:w="45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19"/>
                <w:szCs w:val="19"/>
              </w:rPr>
              <w:t xml:space="preserve">方式①：路由器直接发阻塞包给发送方
Choke packet to sender</w:t>
            </w:r>
          </w:p>
        </w:tc>
      </w:tr>
      <w:tr>
        <w:tc>
          <w:tcPr>
            <w:tcW w:type="dxa" w:w="45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19"/>
                <w:szCs w:val="19"/>
              </w:rPr>
              <w:t xml:space="preserve">TCP 默认采用此方式
TCP default approach</w:t>
            </w:r>
          </w:p>
        </w:tc>
        <w:tc>
          <w:tcPr>
            <w:tcW w:type="dxa" w:w="45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19"/>
                <w:szCs w:val="19"/>
              </w:rPr>
              <w:t xml:space="preserve">方式②：在分组中标记拥塞位，经接收方转告
Mark packet → receiver echoes to sender</w:t>
            </w:r>
          </w:p>
        </w:tc>
      </w:tr>
      <w:tr>
        <w:tc>
          <w:tcPr>
            <w:tcW w:type="dxa" w:w="45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19"/>
                <w:szCs w:val="19"/>
              </w:rPr>
              <w:t xml:space="preserve">代表：TCP Reno, TCP CUBIC</w:t>
            </w:r>
          </w:p>
        </w:tc>
        <w:tc>
          <w:tcPr>
            <w:tcW w:type="dxa" w:w="45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19"/>
                <w:szCs w:val="19"/>
              </w:rPr>
              <w:t xml:space="preserve">代表：ECN (RFC 3168), ATM ABR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hd w:fill="0D3B6E" w:val="clear"/>
        <w:spacing w:after="100" w:before="2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3.7  TCP Congestion Control   TCP 拥塞控制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1A6FA8" w:sz="8" w:space="1"/>
        </w:pBdr>
        <w:spacing w:after="80" w:before="200"/>
      </w:pPr>
      <w:r>
        <w:rPr>
          <w:rFonts w:ascii="Arial" w:cs="Arial" w:eastAsia="Arial" w:hAnsi="Arial"/>
          <w:b/>
          <w:bCs/>
          <w:color w:val="0D3B6E"/>
          <w:sz w:val="26"/>
          <w:szCs w:val="26"/>
        </w:rPr>
        <w:t xml:space="preserve">3.7.1  经典 TCP 拥塞控制  |  Classic TCP Congestion Control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拥塞窗口 cwnd (Congestion Window)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TCP 发送方维护 cwnd，限制已发送但未确认的数据量，间接控制发送速率：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0D3B6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22"/>
                <w:szCs w:val="22"/>
              </w:rPr>
              <w:t xml:space="preserve">LastByteSent − LastByteAcked  ≤  min(cwnd, rwnd)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0D3B6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22"/>
                <w:szCs w:val="22"/>
              </w:rPr>
              <w:t xml:space="preserve">发送速率 ≈ cwnd / RTT  (bytes/sec)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拥塞感知方式  |  How TCP Detects Congestion：</w:t>
            </w:r>
          </w:p>
          <w:p>
            <w:pPr>
              <w:spacing w:after="5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A6FA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超时 Timeout → 严重拥塞信号 (severe congestion)</w:t>
            </w:r>
          </w:p>
          <w:p>
            <w:pPr>
              <w:spacing w:after="5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A6FA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3× 重复 ACK (Triple Duplicate ACK) → 轻度拥塞 → 快速重传</w:t>
            </w:r>
          </w:p>
          <w:p>
            <w:pPr>
              <w:spacing w:after="5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A6FA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ACK 顺利到达 → 网络畅通 → 增大 cwnd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TCP is self-clocking: ACK arrival rate implicitly reflects network state.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00"/>
      </w:tblGrid>
      <w:tr>
        <w:tc>
          <w:tcPr>
            <w:tcW w:type="dxa" w:w="9000"/>
            <w:gridSpan w:val="4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0D3B6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① 三阶段算法  |  Three-Phase Algorithm</w:t>
            </w:r>
          </w:p>
        </w:tc>
      </w:tr>
      <w:tr>
        <w:tc>
          <w:tcPr>
            <w:tcW w:type="dxa" w:w="20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1A6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阶段 Phase</w:t>
            </w:r>
          </w:p>
        </w:tc>
        <w:tc>
          <w:tcPr>
            <w:tcW w:type="dxa" w:w="25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1A6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触发条件 Trigger</w:t>
            </w:r>
          </w:p>
        </w:tc>
        <w:tc>
          <w:tcPr>
            <w:tcW w:type="dxa" w:w="25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1A6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cwnd 变化</w:t>
            </w:r>
          </w:p>
        </w:tc>
        <w:tc>
          <w:tcPr>
            <w:tcW w:type="dxa" w:w="20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1A6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结束条件 End</w:t>
            </w:r>
          </w:p>
        </w:tc>
      </w:tr>
      <w:tr>
        <w:tc>
          <w:tcPr>
            <w:tcW w:type="dxa" w:w="20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18"/>
                <w:szCs w:val="18"/>
              </w:rPr>
              <w:t xml:space="preserve">慢启动
Slow Start</w:t>
            </w:r>
          </w:p>
        </w:tc>
        <w:tc>
          <w:tcPr>
            <w:tcW w:type="dxa" w:w="25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连接开始
Connection start</w:t>
            </w:r>
          </w:p>
        </w:tc>
        <w:tc>
          <w:tcPr>
            <w:tcW w:type="dxa" w:w="25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指数增长，每 ACK +1MSS
(doubles per RTT)</w:t>
            </w:r>
          </w:p>
        </w:tc>
        <w:tc>
          <w:tcPr>
            <w:tcW w:type="dxa" w:w="20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cwnd ≥ ssthresh 或丢包</w:t>
            </w:r>
          </w:p>
        </w:tc>
      </w:tr>
      <w:tr>
        <w:tc>
          <w:tcPr>
            <w:tcW w:type="dxa" w:w="20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18"/>
                <w:szCs w:val="18"/>
              </w:rPr>
              <w:t xml:space="preserve">拥塞避免
Congestion Avoid.</w:t>
            </w:r>
          </w:p>
        </w:tc>
        <w:tc>
          <w:tcPr>
            <w:tcW w:type="dxa" w:w="25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cwnd ≥ ssthresh</w:t>
            </w:r>
          </w:p>
        </w:tc>
        <w:tc>
          <w:tcPr>
            <w:tcW w:type="dxa" w:w="25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线性增长，每 RTT +1MSS
(AIMD)</w:t>
            </w:r>
          </w:p>
        </w:tc>
        <w:tc>
          <w:tcPr>
            <w:tcW w:type="dxa" w:w="20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丢包事件</w:t>
            </w:r>
          </w:p>
        </w:tc>
      </w:tr>
      <w:tr>
        <w:tc>
          <w:tcPr>
            <w:tcW w:type="dxa" w:w="20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18"/>
                <w:szCs w:val="18"/>
              </w:rPr>
              <w:t xml:space="preserve">快速恢复
Fast Recovery</w:t>
            </w:r>
          </w:p>
        </w:tc>
        <w:tc>
          <w:tcPr>
            <w:tcW w:type="dxa" w:w="25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3× dupACK (Reno)</w:t>
            </w:r>
          </w:p>
        </w:tc>
        <w:tc>
          <w:tcPr>
            <w:tcW w:type="dxa" w:w="25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cwnd = ssthresh+3
每 dupACK +1MSS</w:t>
            </w:r>
          </w:p>
        </w:tc>
        <w:tc>
          <w:tcPr>
            <w:tcW w:type="dxa" w:w="20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新 ACK → CA
超时 → SS</w:t>
            </w:r>
          </w:p>
        </w:tc>
      </w:tr>
      <w:tr>
        <w:tc>
          <w:tcPr>
            <w:tcW w:type="dxa" w:w="9000"/>
            <w:gridSpan w:val="4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0D3B6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② 状态转移规则  |  State Transition Rules</w:t>
            </w:r>
          </w:p>
        </w:tc>
      </w:tr>
      <w:tr>
        <w:tc>
          <w:tcPr>
            <w:tcW w:type="dxa" w:w="4500"/>
            <w:gridSpan w:val="2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1A6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事件 Event</w:t>
            </w:r>
          </w:p>
        </w:tc>
        <w:tc>
          <w:tcPr>
            <w:tcW w:type="dxa" w:w="4500"/>
            <w:gridSpan w:val="2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1A6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动作 Action</w:t>
            </w:r>
          </w:p>
        </w:tc>
      </w:tr>
      <w:tr>
        <w:tc>
          <w:tcPr>
            <w:tcW w:type="dxa" w:w="4500"/>
            <w:gridSpan w:val="2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19"/>
                <w:szCs w:val="19"/>
              </w:rPr>
              <w:t xml:space="preserve">超时 Timeout</w:t>
            </w:r>
          </w:p>
        </w:tc>
        <w:tc>
          <w:tcPr>
            <w:tcW w:type="dxa" w:w="4500"/>
            <w:gridSpan w:val="2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2A38"/>
                <w:sz w:val="19"/>
                <w:szCs w:val="19"/>
              </w:rPr>
              <w:t xml:space="preserve">ssthresh = cwnd/2；cwnd = 1 MSS → 慢启动</w:t>
            </w:r>
          </w:p>
        </w:tc>
      </w:tr>
      <w:tr>
        <w:tc>
          <w:tcPr>
            <w:tcW w:type="dxa" w:w="4500"/>
            <w:gridSpan w:val="2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19"/>
                <w:szCs w:val="19"/>
              </w:rPr>
              <w:t xml:space="preserve">3× 重复 ACK (Reno)</w:t>
            </w:r>
          </w:p>
        </w:tc>
        <w:tc>
          <w:tcPr>
            <w:tcW w:type="dxa" w:w="4500"/>
            <w:gridSpan w:val="2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2A38"/>
                <w:sz w:val="19"/>
                <w:szCs w:val="19"/>
              </w:rPr>
              <w:t xml:space="preserve">ssthresh = cwnd/2；cwnd = ssthresh+3 → 快速恢复</w:t>
            </w:r>
          </w:p>
        </w:tc>
      </w:tr>
      <w:tr>
        <w:tc>
          <w:tcPr>
            <w:tcW w:type="dxa" w:w="4500"/>
            <w:gridSpan w:val="2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19"/>
                <w:szCs w:val="19"/>
              </w:rPr>
              <w:t xml:space="preserve">ACK（慢启动中）</w:t>
            </w:r>
          </w:p>
        </w:tc>
        <w:tc>
          <w:tcPr>
            <w:tcW w:type="dxa" w:w="4500"/>
            <w:gridSpan w:val="2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2A38"/>
                <w:sz w:val="19"/>
                <w:szCs w:val="19"/>
              </w:rPr>
              <w:t xml:space="preserve">cwnd += 1 MSS（每 ACK）→ 指数增长</w:t>
            </w:r>
          </w:p>
        </w:tc>
      </w:tr>
      <w:tr>
        <w:tc>
          <w:tcPr>
            <w:tcW w:type="dxa" w:w="4500"/>
            <w:gridSpan w:val="2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19"/>
                <w:szCs w:val="19"/>
              </w:rPr>
              <w:t xml:space="preserve">ACK（拥塞避免中）</w:t>
            </w:r>
          </w:p>
        </w:tc>
        <w:tc>
          <w:tcPr>
            <w:tcW w:type="dxa" w:w="4500"/>
            <w:gridSpan w:val="2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2A38"/>
                <w:sz w:val="19"/>
                <w:szCs w:val="19"/>
              </w:rPr>
              <w:t xml:space="preserve">cwnd += MSS×(MSS/cwnd) → 每 RTT +1 MSS</w:t>
            </w:r>
          </w:p>
        </w:tc>
      </w:tr>
      <w:tr>
        <w:tc>
          <w:tcPr>
            <w:tcW w:type="dxa" w:w="4500"/>
            <w:gridSpan w:val="2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19"/>
                <w:szCs w:val="19"/>
              </w:rPr>
              <w:t xml:space="preserve">cwnd = ssthresh</w:t>
            </w:r>
          </w:p>
        </w:tc>
        <w:tc>
          <w:tcPr>
            <w:tcW w:type="dxa" w:w="4500"/>
            <w:gridSpan w:val="2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2A38"/>
                <w:sz w:val="19"/>
                <w:szCs w:val="19"/>
              </w:rPr>
              <w:t xml:space="preserve">慢启动 → 切换拥塞避免</w:t>
            </w:r>
          </w:p>
        </w:tc>
      </w:tr>
      <w:tr>
        <w:tc>
          <w:tcPr>
            <w:tcW w:type="dxa" w:w="9000"/>
            <w:gridSpan w:val="4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0D3B6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③ TCP 版本比较  |  Version Comparison</w:t>
            </w:r>
          </w:p>
        </w:tc>
      </w:tr>
      <w:tr>
        <w:tc>
          <w:tcPr>
            <w:tcW w:type="dxa" w:w="20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1A6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版本 Version</w:t>
            </w:r>
          </w:p>
        </w:tc>
        <w:tc>
          <w:tcPr>
            <w:tcW w:type="dxa" w:w="25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1A6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超时反应</w:t>
            </w:r>
          </w:p>
        </w:tc>
        <w:tc>
          <w:tcPr>
            <w:tcW w:type="dxa" w:w="25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1A6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3×dupACK 反应</w:t>
            </w:r>
          </w:p>
        </w:tc>
        <w:tc>
          <w:tcPr>
            <w:tcW w:type="dxa" w:w="20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1A6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特点</w:t>
            </w:r>
          </w:p>
        </w:tc>
      </w:tr>
      <w:tr>
        <w:tc>
          <w:tcPr>
            <w:tcW w:type="dxa" w:w="20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18"/>
                <w:szCs w:val="18"/>
              </w:rPr>
              <w:t xml:space="preserve">TCP Tahoe</w:t>
            </w:r>
          </w:p>
        </w:tc>
        <w:tc>
          <w:tcPr>
            <w:tcW w:type="dxa" w:w="25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cwnd=1
ssthresh=cwnd/2</w:t>
            </w:r>
          </w:p>
        </w:tc>
        <w:tc>
          <w:tcPr>
            <w:tcW w:type="dxa" w:w="25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同超时（cwnd=1）</w:t>
            </w:r>
          </w:p>
        </w:tc>
        <w:tc>
          <w:tcPr>
            <w:tcW w:type="dxa" w:w="20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早期；无快速恢复</w:t>
            </w:r>
          </w:p>
        </w:tc>
      </w:tr>
      <w:tr>
        <w:tc>
          <w:tcPr>
            <w:tcW w:type="dxa" w:w="20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18"/>
                <w:szCs w:val="18"/>
              </w:rPr>
              <w:t xml:space="preserve">TCP Reno</w:t>
            </w:r>
          </w:p>
        </w:tc>
        <w:tc>
          <w:tcPr>
            <w:tcW w:type="dxa" w:w="25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cwnd=1
ssthresh=cwnd/2</w:t>
            </w:r>
          </w:p>
        </w:tc>
        <w:tc>
          <w:tcPr>
            <w:tcW w:type="dxa" w:w="25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cwnd=ssthresh+3
进入快速恢复</w:t>
            </w:r>
          </w:p>
        </w:tc>
        <w:tc>
          <w:tcPr>
            <w:tcW w:type="dxa" w:w="20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区分丢包类型
恢复更快</w:t>
            </w:r>
          </w:p>
        </w:tc>
      </w:tr>
      <w:tr>
        <w:tc>
          <w:tcPr>
            <w:tcW w:type="dxa" w:w="20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18"/>
                <w:szCs w:val="18"/>
              </w:rPr>
              <w:t xml:space="preserve">TCP CUBIC</w:t>
            </w:r>
          </w:p>
        </w:tc>
        <w:tc>
          <w:tcPr>
            <w:tcW w:type="dxa" w:w="25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同 Reno</w:t>
            </w:r>
          </w:p>
        </w:tc>
        <w:tc>
          <w:tcPr>
            <w:tcW w:type="dxa" w:w="25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同 Reno
（CA 阶段用三次函数）</w:t>
            </w:r>
          </w:p>
        </w:tc>
        <w:tc>
          <w:tcPr>
            <w:tcW w:type="dxa" w:w="20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快速回到 Wmax
Linux 默认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EAF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AIMD 行为  |  Additive Increase Multiplicative Decrease：</w:t>
            </w:r>
          </w:p>
          <w:p>
            <w:pPr>
              <w:spacing w:after="5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A6FA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增加：拥塞避免阶段每 RTT cwnd +1 MSS（线性 / Additive Increase）</w:t>
            </w:r>
          </w:p>
          <w:p>
            <w:pPr>
              <w:spacing w:after="5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A6FA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减小：丢包时 cwnd 减半（乘性减小 / Multiplicative Decrease）</w:t>
            </w:r>
          </w:p>
          <w:p>
            <w:pPr>
              <w:spacing w:after="5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A6FA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结果：锯齿波形（Sawtooth behavior）—— 带宽探测式收敛</w:t>
            </w:r>
          </w:p>
          <w:p>
            <w:pPr>
              <w:spacing w:after="0" w:before="10"/>
            </w:pP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0D3B6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22"/>
                <w:szCs w:val="22"/>
              </w:rPr>
              <w:t xml:space="preserve">平均吞吐量 Average Throughput ≈  0.75 × W / RTT</w:t>
            </w:r>
          </w:p>
        </w:tc>
      </w:tr>
    </w:tbl>
    <w:p>
      <w:pPr>
        <w:spacing w:after="40" w:before="4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W = 发生丢包时的窗口大小  |  W = window size when loss occurs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1A6FA8" w:sz="8" w:space="1"/>
        </w:pBdr>
        <w:spacing w:after="80" w:before="200"/>
      </w:pPr>
      <w:r>
        <w:rPr>
          <w:rFonts w:ascii="Arial" w:cs="Arial" w:eastAsia="Arial" w:hAnsi="Arial"/>
          <w:b/>
          <w:bCs/>
          <w:color w:val="0D3B6E"/>
          <w:sz w:val="26"/>
          <w:szCs w:val="26"/>
        </w:rPr>
        <w:t xml:space="preserve">3.7.2  ECN &amp; 基于延迟的拥塞控制  |  ECN &amp; Delay-Based CC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显式拥塞通知 ECN
(Explicit Congestion Notification)</w:t>
            </w:r>
          </w:p>
        </w:tc>
        <w:tc>
          <w:tcPr>
            <w:tcW w:type="dxa" w:w="45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基于延迟 Delay-Based CC</w:t>
            </w:r>
          </w:p>
        </w:tc>
      </w:tr>
      <w:tr>
        <w:tc>
          <w:tcPr>
            <w:tcW w:type="dxa" w:w="45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19"/>
                <w:szCs w:val="19"/>
              </w:rPr>
              <w:t xml:space="preserve">RFC 3168；IP 头 2 位 ECN 字段</w:t>
            </w:r>
          </w:p>
        </w:tc>
        <w:tc>
          <w:tcPr>
            <w:tcW w:type="dxa" w:w="45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19"/>
                <w:szCs w:val="19"/>
              </w:rPr>
              <w:t xml:space="preserve">TCP Vegas / BBR</w:t>
            </w:r>
          </w:p>
        </w:tc>
      </w:tr>
      <w:tr>
        <w:tc>
          <w:tcPr>
            <w:tcW w:type="dxa" w:w="45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19"/>
                <w:szCs w:val="19"/>
              </w:rPr>
              <w:t xml:space="preserve">路由器设 ECN=11 表示拥塞</w:t>
            </w:r>
          </w:p>
        </w:tc>
        <w:tc>
          <w:tcPr>
            <w:tcW w:type="dxa" w:w="45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19"/>
                <w:szCs w:val="19"/>
              </w:rPr>
              <w:t xml:space="preserve">Vegas：测量 RTTmin，估算无拥塞吞吐</w:t>
            </w:r>
          </w:p>
        </w:tc>
      </w:tr>
      <w:tr>
        <w:tc>
          <w:tcPr>
            <w:tcW w:type="dxa" w:w="45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19"/>
                <w:szCs w:val="19"/>
              </w:rPr>
              <w:t xml:space="preserve">接收方 TCP ACK 中设 ECE 位告知发送方</w:t>
            </w:r>
          </w:p>
        </w:tc>
        <w:tc>
          <w:tcPr>
            <w:tcW w:type="dxa" w:w="45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19"/>
                <w:szCs w:val="19"/>
              </w:rPr>
              <w:t xml:space="preserve">若实际吞吐 ≈ cwnd/RTTmin → 无拥塞 → 可增速</w:t>
            </w:r>
          </w:p>
        </w:tc>
      </w:tr>
      <w:tr>
        <w:tc>
          <w:tcPr>
            <w:tcW w:type="dxa" w:w="45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19"/>
                <w:szCs w:val="19"/>
              </w:rPr>
              <w:t xml:space="preserve">发送方减半 cwnd + 设 CWR 位</w:t>
            </w:r>
          </w:p>
        </w:tc>
        <w:tc>
          <w:tcPr>
            <w:tcW w:type="dxa" w:w="45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19"/>
                <w:szCs w:val="19"/>
              </w:rPr>
              <w:t xml:space="preserve">BBR（Google）：主动降速，避免丢包再响应</w:t>
            </w:r>
          </w:p>
        </w:tc>
      </w:tr>
      <w:tr>
        <w:tc>
          <w:tcPr>
            <w:tcW w:type="dxa" w:w="45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19"/>
                <w:szCs w:val="19"/>
              </w:rPr>
              <w:t xml:space="preserve">优点：在丢包前即可感知拥塞</w:t>
            </w:r>
          </w:p>
        </w:tc>
        <w:tc>
          <w:tcPr>
            <w:tcW w:type="dxa" w:w="45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8"/>
                <w:sz w:val="19"/>
                <w:szCs w:val="19"/>
              </w:rPr>
              <w:t xml:space="preserve">优点：在丢包前即可感知拥塞，避免无谓重传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1A6FA8" w:sz="8" w:space="1"/>
        </w:pBdr>
        <w:spacing w:after="80" w:before="200"/>
      </w:pPr>
      <w:r>
        <w:rPr>
          <w:rFonts w:ascii="Arial" w:cs="Arial" w:eastAsia="Arial" w:hAnsi="Arial"/>
          <w:b/>
          <w:bCs/>
          <w:color w:val="0D3B6E"/>
          <w:sz w:val="26"/>
          <w:szCs w:val="26"/>
        </w:rPr>
        <w:t xml:space="preserve">3.7.3  公平性  |  Fairness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AIMD 公平性收敛  |  AIMD Fairness Convergence：</w:t>
            </w:r>
          </w:p>
          <w:p>
            <w:pPr>
              <w:spacing w:after="5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A6FA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K 条 TCP 连接共享容量 R 的瓶颈链路，AIMD 使每条最终获得 ≈ R/K 带宽</w:t>
            </w:r>
          </w:p>
          <w:p>
            <w:pPr>
              <w:spacing w:after="5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A6FA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几何证明：吞吐轨迹沿 45° 增加，碰到 R 后减半，收敛于等带宽线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DF2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公平性挑战  |  Fairness Challenges：</w:t>
            </w:r>
          </w:p>
          <w:p>
            <w:pPr>
              <w:spacing w:after="5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A6FA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⚠ </w:t>
            </w:r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UDP 应用（流媒体等）无拥塞控制，可能挤占 TCP 带宽</w:t>
            </w:r>
          </w:p>
          <w:p>
            <w:pPr>
              <w:spacing w:after="5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A6FA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E2A38"/>
                <w:sz w:val="20"/>
                <w:szCs w:val="20"/>
              </w:rPr>
              <w:t xml:space="preserve">⚠ </w:t>
            </w:r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并行 TCP 连接（如浏览器多连接）获得不成比例的带宽份额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hd w:fill="0D3B6E" w:val="clear"/>
        <w:spacing w:after="100" w:before="2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★  核心知识点速览  |  Key Points At-A-Glance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0D3B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主题 Topic</w:t>
            </w:r>
          </w:p>
        </w:tc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0D3B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中文要点</w:t>
            </w:r>
          </w:p>
        </w:tc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0D3B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English Key Point</w:t>
            </w:r>
          </w:p>
        </w:tc>
        <w:tc>
          <w:tcPr>
            <w:tcW w:type="dxa" w:w="24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0D3B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关键术语 Key Terms</w:t>
            </w:r>
          </w:p>
        </w:tc>
      </w:tr>
      <w:tr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18"/>
                <w:szCs w:val="18"/>
              </w:rPr>
              <w:t xml:space="preserve">拥塞代价</w:t>
            </w:r>
          </w:p>
        </w:tc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延迟↑、丢包→重传、上游带宽浪费</w:t>
            </w:r>
          </w:p>
        </w:tc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Delay, retransmissions, wasted upstream capacity</w:t>
            </w:r>
          </w:p>
        </w:tc>
        <w:tc>
          <w:tcPr>
            <w:tcW w:type="dxa" w:w="24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offered load, λ'in</w:t>
            </w:r>
          </w:p>
        </w:tc>
      </w:tr>
      <w:tr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18"/>
                <w:szCs w:val="18"/>
              </w:rPr>
              <w:t xml:space="preserve">控制方法</w:t>
            </w:r>
          </w:p>
        </w:tc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端到端 vs 网络辅助两类</w:t>
            </w:r>
          </w:p>
        </w:tc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End-to-end vs network-assisted</w:t>
            </w:r>
          </w:p>
        </w:tc>
        <w:tc>
          <w:tcPr>
            <w:tcW w:type="dxa" w:w="24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choke packet, ECN bits</w:t>
            </w:r>
          </w:p>
        </w:tc>
      </w:tr>
      <w:tr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18"/>
                <w:szCs w:val="18"/>
              </w:rPr>
              <w:t xml:space="preserve">cwnd</w:t>
            </w:r>
          </w:p>
        </w:tc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动态限制未确认数据量≈控速率</w:t>
            </w:r>
          </w:p>
        </w:tc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Limits unACKed data → controls send rate</w:t>
            </w:r>
          </w:p>
        </w:tc>
        <w:tc>
          <w:tcPr>
            <w:tcW w:type="dxa" w:w="24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congestion window, MSS</w:t>
            </w:r>
          </w:p>
        </w:tc>
      </w:tr>
      <w:tr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18"/>
                <w:szCs w:val="18"/>
              </w:rPr>
              <w:t xml:space="preserve">慢启动</w:t>
            </w:r>
          </w:p>
        </w:tc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指数增长快速探测带宽</w:t>
            </w:r>
          </w:p>
        </w:tc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Exponential growth to find bandwidth</w:t>
            </w:r>
          </w:p>
        </w:tc>
        <w:tc>
          <w:tcPr>
            <w:tcW w:type="dxa" w:w="24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ssthresh, 1 MSS start</w:t>
            </w:r>
          </w:p>
        </w:tc>
      </w:tr>
      <w:tr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18"/>
                <w:szCs w:val="18"/>
              </w:rPr>
              <w:t xml:space="preserve">拥塞避免</w:t>
            </w:r>
          </w:p>
        </w:tc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线性+1MSS/RTT保守探测</w:t>
            </w:r>
          </w:p>
        </w:tc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Linear +1 MSS/RTT conservative probe</w:t>
            </w:r>
          </w:p>
        </w:tc>
        <w:tc>
          <w:tcPr>
            <w:tcW w:type="dxa" w:w="24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AIMD, CA mode</w:t>
            </w:r>
          </w:p>
        </w:tc>
      </w:tr>
      <w:tr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18"/>
                <w:szCs w:val="18"/>
              </w:rPr>
              <w:t xml:space="preserve">快速恢复</w:t>
            </w:r>
          </w:p>
        </w:tc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3dupACK不回慢启动维持速率</w:t>
            </w:r>
          </w:p>
        </w:tc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Avoid SS on triple dupACK</w:t>
            </w:r>
          </w:p>
        </w:tc>
        <w:tc>
          <w:tcPr>
            <w:tcW w:type="dxa" w:w="24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Fast Retransmit, Reno</w:t>
            </w:r>
          </w:p>
        </w:tc>
      </w:tr>
      <w:tr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18"/>
                <w:szCs w:val="18"/>
              </w:rPr>
              <w:t xml:space="preserve">TCP CUBIC</w:t>
            </w:r>
          </w:p>
        </w:tc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三次函数快速回Wmax</w:t>
            </w:r>
          </w:p>
        </w:tc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Cubic fn. to quickly regain Wmax</w:t>
            </w:r>
          </w:p>
        </w:tc>
        <w:tc>
          <w:tcPr>
            <w:tcW w:type="dxa" w:w="24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Wmax, K, cubic</w:t>
            </w:r>
          </w:p>
        </w:tc>
      </w:tr>
      <w:tr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18"/>
                <w:szCs w:val="18"/>
              </w:rPr>
              <w:t xml:space="preserve">ECN</w:t>
            </w:r>
          </w:p>
        </w:tc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IP头标记拥塞→ACK通知→减半cwnd</w:t>
            </w:r>
          </w:p>
        </w:tc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IP bit mark → echo in ACK → halve cwnd</w:t>
            </w:r>
          </w:p>
        </w:tc>
        <w:tc>
          <w:tcPr>
            <w:tcW w:type="dxa" w:w="24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ECE, CWR, ECN=11</w:t>
            </w:r>
          </w:p>
        </w:tc>
      </w:tr>
      <w:tr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18"/>
                <w:szCs w:val="18"/>
              </w:rPr>
              <w:t xml:space="preserve">BBR/Vegas</w:t>
            </w:r>
          </w:p>
        </w:tc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RTTmin测量主动降速，避免丢包</w:t>
            </w:r>
          </w:p>
        </w:tc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Delay-based proactive rate reduction</w:t>
            </w:r>
          </w:p>
        </w:tc>
        <w:tc>
          <w:tcPr>
            <w:tcW w:type="dxa" w:w="24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RTTmin, delay-based</w:t>
            </w:r>
          </w:p>
        </w:tc>
      </w:tr>
      <w:tr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8"/>
                <w:sz w:val="18"/>
                <w:szCs w:val="18"/>
              </w:rPr>
              <w:t xml:space="preserve">公平性</w:t>
            </w:r>
          </w:p>
        </w:tc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AIMD收敛R/K；UDP破坏公平</w:t>
            </w:r>
          </w:p>
        </w:tc>
        <w:tc>
          <w:tcPr>
            <w:tcW w:type="dxa" w:w="22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Converges to R/K; UDP unfair</w:t>
            </w:r>
          </w:p>
        </w:tc>
        <w:tc>
          <w:tcPr>
            <w:tcW w:type="dxa" w:w="24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18"/>
                <w:szCs w:val="18"/>
              </w:rPr>
              <w:t xml:space="preserve">bottleneck link, R/K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— End of Notes  · 笔记完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D6E8" w:sz="4" w:space="1"/>
      </w:pBd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BBBBBB"/>
        <w:sz w:val="17"/>
        <w:szCs w:val="17"/>
      </w:rPr>
      <w:t xml:space="preserve">  |  Computer Networking: A Top-Down Approach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FA8" w:sz="6" w:space="1"/>
      </w:pBdr>
      <w:jc w:val="right"/>
    </w:pPr>
    <w:r>
      <w:rPr>
        <w:rFonts w:ascii="Arial" w:cs="Arial" w:eastAsia="Arial" w:hAnsi="Arial"/>
        <w:color w:val="888888"/>
        <w:sz w:val="17"/>
        <w:szCs w:val="17"/>
      </w:rPr>
      <w:t xml:space="preserve">Chapter 3 · Transport Layer  |  3.6 &amp; 3.7 拥塞控制笔记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A3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2026-04-15T20:23:05.335Z</dcterms:created>
  <dcterms:modified xsi:type="dcterms:W3CDTF">2026-04-15T20:23:05.336Z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