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 Plan – Completed Submission</w:t>
      </w:r>
    </w:p>
    <w:p>
      <w:pPr>
        <w:pStyle w:val="Heading2"/>
      </w:pPr>
      <w:r>
        <w:t>1. Model Logic (Generated with GenAI)</w:t>
      </w:r>
    </w:p>
    <w:p>
      <w:r>
        <w:t>The proposed model uses Logistic Regression to predict whether a customer is likely to become delinquent. Key features include payment history, credit utilization rate, debt-to-income ratio, income level, and recent credit activity. The workflow includes data collection, preprocessing, feature selection, model training on historical delinquency data, probability score generation, and customer risk classification into low, medium, and high-risk categories.</w:t>
        <w:br/>
        <w:br/>
        <w:t>Model Workflow:</w:t>
        <w:br/>
        <w:t>1. Collect customer financial data.</w:t>
        <w:br/>
        <w:t>2. Validate and preprocess the dataset.</w:t>
        <w:br/>
        <w:t>3. Select relevant risk factors.</w:t>
        <w:br/>
        <w:t>4. Train a Logistic Regression model.</w:t>
        <w:br/>
        <w:t>5. Generate delinquency probability scores.</w:t>
        <w:br/>
        <w:t>6. Classify customers by risk level.</w:t>
        <w:br/>
        <w:t>7. Support targeted intervention strategies for the Collections team.</w:t>
      </w:r>
    </w:p>
    <w:p>
      <w:pPr>
        <w:pStyle w:val="Heading2"/>
      </w:pPr>
      <w:r>
        <w:t>2. Justification for Model Choice</w:t>
      </w:r>
    </w:p>
    <w:p>
      <w:r>
        <w:t>Logistic Regression was selected because it provides a strong balance between predictive performance and interpretability. Financial institutions require transparent decision-making processes that can be explained to regulators and business stakeholders. The model clearly shows how each feature contributes to risk, is computationally efficient, easy to deploy, and widely used in credit risk prediction. These characteristics make it suitable for Geldium's goal of improving delinquency prediction while maintaining fairness, transparency, and regulatory compliance.</w:t>
      </w:r>
    </w:p>
    <w:p>
      <w:pPr>
        <w:pStyle w:val="Heading2"/>
      </w:pPr>
      <w:r>
        <w:t>3. Evaluation Strategy</w:t>
      </w:r>
    </w:p>
    <w:p>
      <w:r>
        <w:t>Performance Metrics:</w:t>
        <w:br/>
        <w:t>• Accuracy – Measures overall prediction correctness.</w:t>
        <w:br/>
        <w:t>• Precision – Evaluates how many predicted delinquent customers are truly delinquent.</w:t>
        <w:br/>
        <w:t>• Recall – Measures how effectively the model identifies actual delinquent customers.</w:t>
        <w:br/>
        <w:t>• F1 Score – Balances precision and recall.</w:t>
        <w:br/>
        <w:t>• AUC-ROC – Assesses the model's ability to distinguish between delinquent and non-delinquent customers.</w:t>
        <w:br/>
        <w:br/>
        <w:t>Bias and Fairness Checks:</w:t>
        <w:br/>
        <w:t>• Compare model performance across demographic groups.</w:t>
        <w:br/>
        <w:t>• Monitor false positive and false negative rates.</w:t>
        <w:br/>
        <w:t>• Review features that may introduce bias.</w:t>
        <w:br/>
        <w:t>• Conduct regular model audits.</w:t>
        <w:br/>
        <w:br/>
        <w:t>Ethical Considerations:</w:t>
        <w:br/>
        <w:t>• Ensure transparency and explainability.</w:t>
        <w:br/>
        <w:t>• Avoid unfair treatment of customer groups.</w:t>
        <w:br/>
        <w:t>• Protect customer privacy and sensitive financial data.</w:t>
        <w:br/>
        <w:t>• Use predictions to support responsible financial decision-making rather than automatic adverse actions.</w:t>
        <w:br/>
        <w:br/>
        <w:t>Interpretation:</w:t>
        <w:br/>
        <w:t>High Accuracy, F1 Score, Recall, and AUC values indicate strong predictive performance. Fairness checks help ensure equitable outcomes and identify areas requiring model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