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0"/>
          <w:szCs w:val="40"/>
        </w:rPr>
        <w:t xml:space="preserve">Business Summary Report</w:t>
      </w:r>
    </w:p>
    <w:p>
      <w:pPr>
        <w:spacing w:after="400" w:before="0"/>
        <w:jc w:val="center"/>
      </w:pPr>
      <w:r>
        <w:rPr>
          <w:rFonts w:ascii="Arial" w:cs="Arial" w:eastAsia="Arial" w:hAnsi="Arial"/>
          <w:i/>
          <w:iCs/>
          <w:color w:val="2E4D8A"/>
          <w:sz w:val="26"/>
          <w:szCs w:val="26"/>
        </w:rPr>
        <w:t xml:space="preserve">Predictive Insights for Collections Strategy</w:t>
      </w:r>
    </w:p>
    <w:p>
      <w:pPr>
        <w:pStyle w:val="Heading1"/>
        <w:pBdr>
          <w:bottom w:val="single" w:color="1F3864" w:sz="6" w:space="1"/>
        </w:pBdr>
        <w:spacing w:after="160" w:before="320"/>
      </w:pPr>
      <w:r>
        <w:rPr>
          <w:rFonts w:ascii="Arial" w:cs="Arial" w:eastAsia="Arial" w:hAnsi="Arial"/>
          <w:b/>
          <w:bCs/>
          <w:color w:val="1F3864"/>
          <w:sz w:val="28"/>
          <w:szCs w:val="28"/>
        </w:rPr>
        <w:t xml:space="preserve">1. Summary of Predictive Insights</w:t>
      </w:r>
    </w:p>
    <w:p>
      <w:pPr>
        <w:pStyle w:val="Heading2"/>
        <w:spacing w:after="120" w:before="240"/>
      </w:pPr>
      <w:r>
        <w:rPr>
          <w:rFonts w:ascii="Arial" w:cs="Arial" w:eastAsia="Arial" w:hAnsi="Arial"/>
          <w:b/>
          <w:bCs/>
          <w:color w:val="2E4D8A"/>
          <w:sz w:val="24"/>
          <w:szCs w:val="24"/>
        </w:rPr>
        <w:t xml:space="preserve">Top 3 Risk Factors</w:t>
      </w:r>
    </w:p>
    <w:p>
      <w:pPr>
        <w:pStyle w:val="ListParagraph"/>
        <w:numPr>
          <w:ilvl w:val="0"/>
          <w:numId w:val="2"/>
        </w:numPr>
        <w:spacing w:after="40" w:before="40"/>
      </w:pPr>
      <w:r>
        <w:rPr>
          <w:rFonts w:ascii="Arial" w:cs="Arial" w:eastAsia="Arial" w:hAnsi="Arial"/>
          <w:sz w:val="22"/>
          <w:szCs w:val="22"/>
        </w:rPr>
        <w:t xml:space="preserve">Customers with a history of missed or late payments are significantly more likely to become delinquent.</w:t>
      </w:r>
    </w:p>
    <w:p>
      <w:pPr>
        <w:pStyle w:val="ListParagraph"/>
        <w:numPr>
          <w:ilvl w:val="0"/>
          <w:numId w:val="2"/>
        </w:numPr>
        <w:spacing w:after="40" w:before="40"/>
      </w:pPr>
      <w:r>
        <w:rPr>
          <w:rFonts w:ascii="Arial" w:cs="Arial" w:eastAsia="Arial" w:hAnsi="Arial"/>
          <w:sz w:val="22"/>
          <w:szCs w:val="22"/>
        </w:rPr>
        <w:t xml:space="preserve">High credit utilization rates indicate financial stress and increase the likelihood of repayment difficulties.</w:t>
      </w:r>
    </w:p>
    <w:p>
      <w:pPr>
        <w:pStyle w:val="ListParagraph"/>
        <w:numPr>
          <w:ilvl w:val="0"/>
          <w:numId w:val="2"/>
        </w:numPr>
        <w:spacing w:after="40" w:before="40"/>
      </w:pPr>
      <w:r>
        <w:rPr>
          <w:rFonts w:ascii="Arial" w:cs="Arial" w:eastAsia="Arial" w:hAnsi="Arial"/>
          <w:sz w:val="22"/>
          <w:szCs w:val="22"/>
        </w:rPr>
        <w:t xml:space="preserve">Customers with high debt-to-income ratios may struggle to meet financial obligations, increasing delinquency risk.</w:t>
      </w:r>
    </w:p>
    <w:p>
      <w:pPr>
        <w:spacing w:after="60" w:before="60"/>
      </w:pPr>
      <w:r>
        <w:t xml:space="preserve"/>
      </w:r>
    </w:p>
    <w:p>
      <w:pPr>
        <w:pStyle w:val="Heading2"/>
        <w:spacing w:after="120" w:before="240"/>
      </w:pPr>
      <w:r>
        <w:rPr>
          <w:rFonts w:ascii="Arial" w:cs="Arial" w:eastAsia="Arial" w:hAnsi="Arial"/>
          <w:b/>
          <w:bCs/>
          <w:color w:val="2E4D8A"/>
          <w:sz w:val="24"/>
          <w:szCs w:val="24"/>
        </w:rPr>
        <w:t xml:space="preserve">Key Insights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Insight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Segment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Influencing Variables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Potential Impact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Customers with multiple missed payments show higher delinquency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Customers with 2 or more recent missed payments.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 History, Account Tenure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Early intervention can reduce future defaults.</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sz w:val="20"/>
                <w:szCs w:val="20"/>
              </w:rPr>
              <w:t xml:space="preserve">High credit utilization is associated with increased repayment risk.</w:t>
            </w:r>
          </w:p>
        </w:tc>
        <w:tc>
          <w:tcPr>
            <w:tcW w:type="dxa" w:w="234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sz w:val="20"/>
                <w:szCs w:val="20"/>
              </w:rPr>
              <w:t xml:space="preserve">Customers using a large portion of their available credit.</w:t>
            </w:r>
          </w:p>
        </w:tc>
        <w:tc>
          <w:tcPr>
            <w:tcW w:type="dxa" w:w="234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sz w:val="20"/>
                <w:szCs w:val="20"/>
              </w:rPr>
              <w:t xml:space="preserve">Credit Utilization Rate, Outstanding Balance</w:t>
            </w:r>
          </w:p>
        </w:tc>
        <w:tc>
          <w:tcPr>
            <w:tcW w:type="dxa" w:w="234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sz w:val="20"/>
                <w:szCs w:val="20"/>
              </w:rPr>
              <w:t xml:space="preserve">Targeted outreach may reduce delinquency rates.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Customers with high debt burdens face greater repayment challenges.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Customers with high debt-to-income ratios.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Debt-to-Income Ratio, Income 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Personalized repayment plans may improve recovery outcomes.</w:t>
            </w:r>
          </w:p>
        </w:tc>
      </w:tr>
    </w:tbl>
    <w:p>
      <w:pPr>
        <w:spacing w:after="60" w:before="60"/>
      </w:pPr>
      <w:r>
        <w:t xml:space="preserve"/>
      </w:r>
    </w:p>
    <w:p>
      <w:pPr>
        <w:pStyle w:val="Heading1"/>
        <w:pBdr>
          <w:bottom w:val="single" w:color="1F3864" w:sz="6" w:space="1"/>
        </w:pBdr>
        <w:spacing w:after="160" w:before="320"/>
      </w:pPr>
      <w:r>
        <w:rPr>
          <w:rFonts w:ascii="Arial" w:cs="Arial" w:eastAsia="Arial" w:hAnsi="Arial"/>
          <w:b/>
          <w:bCs/>
          <w:color w:val="1F3864"/>
          <w:sz w:val="28"/>
          <w:szCs w:val="28"/>
        </w:rPr>
        <w:t xml:space="preserve">2. Recommendation Framework</w:t>
      </w:r>
    </w:p>
    <w:p>
      <w:pPr>
        <w:pStyle w:val="Heading2"/>
        <w:spacing w:after="120" w:before="240"/>
      </w:pPr>
      <w:r>
        <w:rPr>
          <w:rFonts w:ascii="Arial" w:cs="Arial" w:eastAsia="Arial" w:hAnsi="Arial"/>
          <w:b/>
          <w:bCs/>
          <w:color w:val="2E4D8A"/>
          <w:sz w:val="24"/>
          <w:szCs w:val="24"/>
        </w:rPr>
        <w:t xml:space="preserve">Restated Insight</w:t>
      </w:r>
    </w:p>
    <w:p>
      <w:pPr>
        <w:spacing w:after="60" w:before="60"/>
      </w:pPr>
      <w:r>
        <w:rPr>
          <w:rFonts w:ascii="Arial" w:cs="Arial" w:eastAsia="Arial" w:hAnsi="Arial"/>
          <w:sz w:val="22"/>
          <w:szCs w:val="22"/>
        </w:rPr>
        <w:t xml:space="preserve">Customers with high credit utilization and a history of missed payments demonstrate a significantly higher risk of delinquency.</w:t>
      </w:r>
    </w:p>
    <w:p>
      <w:pPr>
        <w:pStyle w:val="Heading2"/>
        <w:spacing w:after="120" w:before="240"/>
      </w:pPr>
      <w:r>
        <w:rPr>
          <w:rFonts w:ascii="Arial" w:cs="Arial" w:eastAsia="Arial" w:hAnsi="Arial"/>
          <w:b/>
          <w:bCs/>
          <w:color w:val="2E4D8A"/>
          <w:sz w:val="24"/>
          <w:szCs w:val="24"/>
        </w:rPr>
        <w:t xml:space="preserve">Proposed Recommendation</w:t>
      </w:r>
    </w:p>
    <w:p>
      <w:pPr>
        <w:spacing w:after="60" w:before="60"/>
      </w:pPr>
      <w:r>
        <w:rPr>
          <w:rFonts w:ascii="Arial" w:cs="Arial" w:eastAsia="Arial" w:hAnsi="Arial"/>
          <w:sz w:val="22"/>
          <w:szCs w:val="22"/>
        </w:rPr>
        <w:t xml:space="preserve">Launch a targeted customer engagement program focused on high-risk customers identified by the predictive model.</w:t>
      </w:r>
    </w:p>
    <w:p>
      <w:pPr>
        <w:spacing w:after="60" w:before="60"/>
      </w:pPr>
      <w:r>
        <w:t xml:space="preserve"/>
      </w:r>
    </w:p>
    <w:p>
      <w:pPr>
        <w:spacing w:after="80" w:before="180"/>
      </w:pPr>
      <w:r>
        <w:rPr>
          <w:rFonts w:ascii="Arial" w:cs="Arial" w:eastAsia="Arial" w:hAnsi="Arial"/>
          <w:b/>
          <w:bCs/>
          <w:color w:val="2E4D8A"/>
          <w:sz w:val="22"/>
          <w:szCs w:val="22"/>
        </w:rPr>
        <w:t xml:space="preserve">Specific</w:t>
      </w:r>
    </w:p>
    <w:p>
      <w:pPr>
        <w:spacing w:after="60" w:before="60"/>
      </w:pPr>
      <w:r>
        <w:rPr>
          <w:rFonts w:ascii="Arial" w:cs="Arial" w:eastAsia="Arial" w:hAnsi="Arial"/>
          <w:sz w:val="22"/>
          <w:szCs w:val="22"/>
        </w:rPr>
        <w:t xml:space="preserve">Contact customers with credit utilization above 80% and at least two missed payments within the last six months.</w:t>
      </w:r>
    </w:p>
    <w:p>
      <w:pPr>
        <w:spacing w:after="80" w:before="180"/>
      </w:pPr>
      <w:r>
        <w:rPr>
          <w:rFonts w:ascii="Arial" w:cs="Arial" w:eastAsia="Arial" w:hAnsi="Arial"/>
          <w:b/>
          <w:bCs/>
          <w:color w:val="2E4D8A"/>
          <w:sz w:val="22"/>
          <w:szCs w:val="22"/>
        </w:rPr>
        <w:t xml:space="preserve">Measurable</w:t>
      </w:r>
    </w:p>
    <w:p>
      <w:pPr>
        <w:spacing w:after="60" w:before="60"/>
      </w:pPr>
      <w:r>
        <w:rPr>
          <w:rFonts w:ascii="Arial" w:cs="Arial" w:eastAsia="Arial" w:hAnsi="Arial"/>
          <w:sz w:val="22"/>
          <w:szCs w:val="22"/>
        </w:rPr>
        <w:t xml:space="preserve">Aim to reduce 30-day delinquency rates within this customer segment by 10%.</w:t>
      </w:r>
    </w:p>
    <w:p>
      <w:pPr>
        <w:spacing w:after="80" w:before="180"/>
      </w:pPr>
      <w:r>
        <w:rPr>
          <w:rFonts w:ascii="Arial" w:cs="Arial" w:eastAsia="Arial" w:hAnsi="Arial"/>
          <w:b/>
          <w:bCs/>
          <w:color w:val="2E4D8A"/>
          <w:sz w:val="22"/>
          <w:szCs w:val="22"/>
        </w:rPr>
        <w:t xml:space="preserve">Actionable</w:t>
      </w:r>
    </w:p>
    <w:p>
      <w:pPr>
        <w:spacing w:after="60" w:before="60"/>
      </w:pPr>
      <w:r>
        <w:rPr>
          <w:rFonts w:ascii="Arial" w:cs="Arial" w:eastAsia="Arial" w:hAnsi="Arial"/>
          <w:sz w:val="22"/>
          <w:szCs w:val="22"/>
        </w:rPr>
        <w:t xml:space="preserve">Use SMS reminders, email communications, and personalized repayment assistance options.</w:t>
      </w:r>
    </w:p>
    <w:p>
      <w:pPr>
        <w:spacing w:after="80" w:before="180"/>
      </w:pPr>
      <w:r>
        <w:rPr>
          <w:rFonts w:ascii="Arial" w:cs="Arial" w:eastAsia="Arial" w:hAnsi="Arial"/>
          <w:b/>
          <w:bCs/>
          <w:color w:val="2E4D8A"/>
          <w:sz w:val="22"/>
          <w:szCs w:val="22"/>
        </w:rPr>
        <w:t xml:space="preserve">Relevant</w:t>
      </w:r>
    </w:p>
    <w:p>
      <w:pPr>
        <w:spacing w:after="60" w:before="60"/>
      </w:pPr>
      <w:r>
        <w:rPr>
          <w:rFonts w:ascii="Arial" w:cs="Arial" w:eastAsia="Arial" w:hAnsi="Arial"/>
          <w:sz w:val="22"/>
          <w:szCs w:val="22"/>
        </w:rPr>
        <w:t xml:space="preserve">The recommendation directly supports Geldium’s goal of reducing delinquency and improving collections efficiency.</w:t>
      </w:r>
    </w:p>
    <w:p>
      <w:pPr>
        <w:spacing w:after="80" w:before="180"/>
      </w:pPr>
      <w:r>
        <w:rPr>
          <w:rFonts w:ascii="Arial" w:cs="Arial" w:eastAsia="Arial" w:hAnsi="Arial"/>
          <w:b/>
          <w:bCs/>
          <w:color w:val="2E4D8A"/>
          <w:sz w:val="22"/>
          <w:szCs w:val="22"/>
        </w:rPr>
        <w:t xml:space="preserve">Time-bound</w:t>
      </w:r>
    </w:p>
    <w:p>
      <w:pPr>
        <w:spacing w:after="60" w:before="60"/>
      </w:pPr>
      <w:r>
        <w:rPr>
          <w:rFonts w:ascii="Arial" w:cs="Arial" w:eastAsia="Arial" w:hAnsi="Arial"/>
          <w:sz w:val="22"/>
          <w:szCs w:val="22"/>
        </w:rPr>
        <w:t xml:space="preserve">Implement a six-week pilot program and evaluate results at the end of the testing period.</w:t>
      </w:r>
    </w:p>
    <w:p>
      <w:pPr>
        <w:spacing w:after="60" w:before="60"/>
      </w:pPr>
      <w:r>
        <w:t xml:space="preserve"/>
      </w:r>
    </w:p>
    <w:p>
      <w:pPr>
        <w:pStyle w:val="Heading2"/>
        <w:spacing w:after="120" w:before="240"/>
      </w:pPr>
      <w:r>
        <w:rPr>
          <w:rFonts w:ascii="Arial" w:cs="Arial" w:eastAsia="Arial" w:hAnsi="Arial"/>
          <w:b/>
          <w:bCs/>
          <w:color w:val="2E4D8A"/>
          <w:sz w:val="24"/>
          <w:szCs w:val="24"/>
        </w:rPr>
        <w:t xml:space="preserve">Justification and Business Rationale</w:t>
      </w:r>
    </w:p>
    <w:p>
      <w:pPr>
        <w:spacing w:after="60" w:before="60"/>
      </w:pPr>
      <w:r>
        <w:rPr>
          <w:rFonts w:ascii="Arial" w:cs="Arial" w:eastAsia="Arial" w:hAnsi="Arial"/>
          <w:sz w:val="22"/>
          <w:szCs w:val="22"/>
        </w:rPr>
        <w:t xml:space="preserve">Customers with high credit utilization and repeated missed payments are among the strongest indicators of future delinquency. By proactively engaging these customers before they default, Geldium can improve repayment outcomes, reduce financial losses, and allocate collections resources more effectively.</w:t>
      </w:r>
    </w:p>
    <w:p>
      <w:pPr>
        <w:spacing w:after="60" w:before="60"/>
      </w:pPr>
      <w:r>
        <w:t xml:space="preserve"/>
      </w:r>
    </w:p>
    <w:p>
      <w:pPr>
        <w:pStyle w:val="Heading1"/>
        <w:pBdr>
          <w:bottom w:val="single" w:color="1F3864" w:sz="6" w:space="1"/>
        </w:pBdr>
        <w:spacing w:after="160" w:before="320"/>
      </w:pPr>
      <w:r>
        <w:rPr>
          <w:rFonts w:ascii="Arial" w:cs="Arial" w:eastAsia="Arial" w:hAnsi="Arial"/>
          <w:b/>
          <w:bCs/>
          <w:color w:val="1F3864"/>
          <w:sz w:val="28"/>
          <w:szCs w:val="28"/>
        </w:rPr>
        <w:t xml:space="preserve">3. Ethical and Responsible AI Considerations</w:t>
      </w:r>
    </w:p>
    <w:p>
      <w:pPr>
        <w:pStyle w:val="Heading2"/>
        <w:spacing w:after="120" w:before="240"/>
      </w:pPr>
      <w:r>
        <w:rPr>
          <w:rFonts w:ascii="Arial" w:cs="Arial" w:eastAsia="Arial" w:hAnsi="Arial"/>
          <w:b/>
          <w:bCs/>
          <w:color w:val="2E4D8A"/>
          <w:sz w:val="24"/>
          <w:szCs w:val="24"/>
        </w:rPr>
        <w:t xml:space="preserve">Fairness Risk 1: Demographic Bias</w:t>
      </w:r>
    </w:p>
    <w:p>
      <w:pPr>
        <w:spacing w:after="60" w:before="60"/>
      </w:pPr>
      <w:r>
        <w:rPr>
          <w:rFonts w:ascii="Arial" w:cs="Arial" w:eastAsia="Arial" w:hAnsi="Arial"/>
          <w:sz w:val="22"/>
          <w:szCs w:val="22"/>
        </w:rPr>
        <w:t xml:space="preserve">Certain customer groups may be disproportionately flagged as high-risk due to historical patterns in the data.</w:t>
      </w:r>
    </w:p>
    <w:p>
      <w:pPr>
        <w:spacing w:after="60" w:before="60"/>
      </w:pPr>
      <w:r>
        <w:rPr>
          <w:rFonts w:ascii="Arial" w:cs="Arial" w:eastAsia="Arial" w:hAnsi="Arial"/>
          <w:b/>
          <w:bCs/>
          <w:sz w:val="22"/>
          <w:szCs w:val="22"/>
        </w:rPr>
        <w:t xml:space="preserve">Mitigation: </w:t>
      </w:r>
      <w:r>
        <w:rPr>
          <w:rFonts w:ascii="Arial" w:cs="Arial" w:eastAsia="Arial" w:hAnsi="Arial"/>
          <w:sz w:val="22"/>
          <w:szCs w:val="22"/>
        </w:rPr>
        <w:t xml:space="preserve">Regularly audit model outcomes across demographic groups and monitor for unfair disparities.</w:t>
      </w:r>
    </w:p>
    <w:p>
      <w:pPr>
        <w:spacing w:after="60" w:before="60"/>
      </w:pPr>
      <w:r>
        <w:t xml:space="preserve"/>
      </w:r>
    </w:p>
    <w:p>
      <w:pPr>
        <w:pStyle w:val="Heading2"/>
        <w:spacing w:after="120" w:before="240"/>
      </w:pPr>
      <w:r>
        <w:rPr>
          <w:rFonts w:ascii="Arial" w:cs="Arial" w:eastAsia="Arial" w:hAnsi="Arial"/>
          <w:b/>
          <w:bCs/>
          <w:color w:val="2E4D8A"/>
          <w:sz w:val="24"/>
          <w:szCs w:val="24"/>
        </w:rPr>
        <w:t xml:space="preserve">Fairness Risk 2: Incomplete or Biased Data</w:t>
      </w:r>
    </w:p>
    <w:p>
      <w:pPr>
        <w:spacing w:after="60" w:before="60"/>
      </w:pPr>
      <w:r>
        <w:rPr>
          <w:rFonts w:ascii="Arial" w:cs="Arial" w:eastAsia="Arial" w:hAnsi="Arial"/>
          <w:sz w:val="22"/>
          <w:szCs w:val="22"/>
        </w:rPr>
        <w:t xml:space="preserve">Missing or unrepresentative data may lead to inaccurate predictions and unfair treatment.</w:t>
      </w:r>
    </w:p>
    <w:p>
      <w:pPr>
        <w:spacing w:after="60" w:before="60"/>
      </w:pPr>
      <w:r>
        <w:rPr>
          <w:rFonts w:ascii="Arial" w:cs="Arial" w:eastAsia="Arial" w:hAnsi="Arial"/>
          <w:b/>
          <w:bCs/>
          <w:sz w:val="22"/>
          <w:szCs w:val="22"/>
        </w:rPr>
        <w:t xml:space="preserve">Mitigation: </w:t>
      </w:r>
      <w:r>
        <w:rPr>
          <w:rFonts w:ascii="Arial" w:cs="Arial" w:eastAsia="Arial" w:hAnsi="Arial"/>
          <w:sz w:val="22"/>
          <w:szCs w:val="22"/>
        </w:rPr>
        <w:t xml:space="preserve">Perform ongoing data quality checks, use transparent imputation methods, and retrain the model periodically.</w:t>
      </w:r>
    </w:p>
    <w:p>
      <w:pPr>
        <w:spacing w:after="60" w:before="60"/>
      </w:pPr>
      <w:r>
        <w:t xml:space="preserve"/>
      </w:r>
    </w:p>
    <w:p>
      <w:pPr>
        <w:pStyle w:val="Heading2"/>
        <w:spacing w:after="120" w:before="240"/>
      </w:pPr>
      <w:r>
        <w:rPr>
          <w:rFonts w:ascii="Arial" w:cs="Arial" w:eastAsia="Arial" w:hAnsi="Arial"/>
          <w:b/>
          <w:bCs/>
          <w:color w:val="2E4D8A"/>
          <w:sz w:val="24"/>
          <w:szCs w:val="24"/>
        </w:rPr>
        <w:t xml:space="preserve">Explainability</w:t>
      </w:r>
    </w:p>
    <w:p>
      <w:pPr>
        <w:spacing w:after="60" w:before="60"/>
      </w:pPr>
      <w:r>
        <w:rPr>
          <w:rFonts w:ascii="Arial" w:cs="Arial" w:eastAsia="Arial" w:hAnsi="Arial"/>
          <w:sz w:val="22"/>
          <w:szCs w:val="22"/>
        </w:rPr>
        <w:t xml:space="preserve">The Logistic Regression model was selected because its predictions can be explained using clear factors such as payment history, credit utilization, and debt-to-income ratio. This allows business stakeholders to understand why customers are classified as high-risk.</w:t>
      </w:r>
    </w:p>
    <w:p>
      <w:pPr>
        <w:spacing w:after="60" w:before="60"/>
      </w:pPr>
      <w:r>
        <w:t xml:space="preserve"/>
      </w:r>
    </w:p>
    <w:p>
      <w:pPr>
        <w:pStyle w:val="Heading2"/>
        <w:spacing w:after="120" w:before="240"/>
      </w:pPr>
      <w:r>
        <w:rPr>
          <w:rFonts w:ascii="Arial" w:cs="Arial" w:eastAsia="Arial" w:hAnsi="Arial"/>
          <w:b/>
          <w:bCs/>
          <w:color w:val="2E4D8A"/>
          <w:sz w:val="24"/>
          <w:szCs w:val="24"/>
        </w:rPr>
        <w:t xml:space="preserve">Responsible AI Use</w:t>
      </w:r>
    </w:p>
    <w:p>
      <w:pPr>
        <w:spacing w:after="60" w:before="60"/>
      </w:pPr>
      <w:r>
        <w:rPr>
          <w:rFonts w:ascii="Arial" w:cs="Arial" w:eastAsia="Arial" w:hAnsi="Arial"/>
          <w:sz w:val="22"/>
          <w:szCs w:val="22"/>
        </w:rPr>
        <w:t xml:space="preserve">The predictive model should support decision-making rather than replace human judgment. Collections staff should use model outputs alongside professional review to ensure fair and responsible customer treatment.</w:t>
      </w:r>
    </w:p>
    <w:p>
      <w:pPr>
        <w:spacing w:after="60" w:before="60"/>
      </w:pPr>
      <w:r>
        <w:t xml:space="preserve"/>
      </w:r>
    </w:p>
    <w:p>
      <w:pPr>
        <w:pStyle w:val="Heading2"/>
        <w:spacing w:after="120" w:before="240"/>
      </w:pPr>
      <w:r>
        <w:rPr>
          <w:rFonts w:ascii="Arial" w:cs="Arial" w:eastAsia="Arial" w:hAnsi="Arial"/>
          <w:b/>
          <w:bCs/>
          <w:color w:val="2E4D8A"/>
          <w:sz w:val="24"/>
          <w:szCs w:val="24"/>
        </w:rPr>
        <w:t xml:space="preserve">Additional Ethical Considerations</w:t>
      </w:r>
    </w:p>
    <w:p>
      <w:pPr>
        <w:pStyle w:val="ListParagraph"/>
        <w:numPr>
          <w:ilvl w:val="0"/>
          <w:numId w:val="2"/>
        </w:numPr>
        <w:spacing w:after="40" w:before="40"/>
      </w:pPr>
      <w:r>
        <w:rPr>
          <w:rFonts w:ascii="Arial" w:cs="Arial" w:eastAsia="Arial" w:hAnsi="Arial"/>
          <w:sz w:val="22"/>
          <w:szCs w:val="22"/>
        </w:rPr>
        <w:t xml:space="preserve">Protect customer privacy and sensitive financial information.</w:t>
      </w:r>
    </w:p>
    <w:p>
      <w:pPr>
        <w:pStyle w:val="ListParagraph"/>
        <w:numPr>
          <w:ilvl w:val="0"/>
          <w:numId w:val="2"/>
        </w:numPr>
        <w:spacing w:after="40" w:before="40"/>
      </w:pPr>
      <w:r>
        <w:rPr>
          <w:rFonts w:ascii="Arial" w:cs="Arial" w:eastAsia="Arial" w:hAnsi="Arial"/>
          <w:sz w:val="22"/>
          <w:szCs w:val="22"/>
        </w:rPr>
        <w:t xml:space="preserve">Maintain transparency regarding how predictions are generated.</w:t>
      </w:r>
    </w:p>
    <w:p>
      <w:pPr>
        <w:pStyle w:val="ListParagraph"/>
        <w:numPr>
          <w:ilvl w:val="0"/>
          <w:numId w:val="2"/>
        </w:numPr>
        <w:spacing w:after="40" w:before="40"/>
      </w:pPr>
      <w:r>
        <w:rPr>
          <w:rFonts w:ascii="Arial" w:cs="Arial" w:eastAsia="Arial" w:hAnsi="Arial"/>
          <w:sz w:val="22"/>
          <w:szCs w:val="22"/>
        </w:rPr>
        <w:t xml:space="preserve">Ensure accountability through regular model monitoring and validation.</w:t>
      </w:r>
    </w:p>
    <w:p>
      <w:pPr>
        <w:pStyle w:val="ListParagraph"/>
        <w:numPr>
          <w:ilvl w:val="0"/>
          <w:numId w:val="2"/>
        </w:numPr>
        <w:spacing w:after="40" w:before="40"/>
      </w:pPr>
      <w:r>
        <w:rPr>
          <w:rFonts w:ascii="Arial" w:cs="Arial" w:eastAsia="Arial" w:hAnsi="Arial"/>
          <w:sz w:val="22"/>
          <w:szCs w:val="22"/>
        </w:rPr>
        <w:t xml:space="preserve">Promote responsible financial decision-making by focusing on early intervention rather than punitive actions.</w:t>
      </w:r>
    </w:p>
    <w:p>
      <w:pPr>
        <w:spacing w:after="60" w:before="60"/>
      </w:pPr>
      <w:r>
        <w:t xml:space="preserve"/>
      </w:r>
    </w:p>
    <w:p>
      <w:pPr>
        <w:pStyle w:val="Heading1"/>
        <w:pBdr>
          <w:bottom w:val="single" w:color="1F3864" w:sz="6" w:space="1"/>
        </w:pBdr>
        <w:spacing w:after="160" w:before="320"/>
      </w:pPr>
      <w:r>
        <w:rPr>
          <w:rFonts w:ascii="Arial" w:cs="Arial" w:eastAsia="Arial" w:hAnsi="Arial"/>
          <w:b/>
          <w:bCs/>
          <w:color w:val="1F3864"/>
          <w:sz w:val="28"/>
          <w:szCs w:val="28"/>
        </w:rPr>
        <w:t xml:space="preserve">Conclusion</w:t>
      </w:r>
    </w:p>
    <w:p>
      <w:pPr>
        <w:spacing w:after="60" w:before="60"/>
      </w:pPr>
      <w:r>
        <w:rPr>
          <w:rFonts w:ascii="Arial" w:cs="Arial" w:eastAsia="Arial" w:hAnsi="Arial"/>
          <w:sz w:val="22"/>
          <w:szCs w:val="22"/>
        </w:rPr>
        <w:t xml:space="preserve">The predictive analysis identified payment history, credit utilization, and debt-to-income ratio as the strongest indicators of delinquency risk. By implementing targeted interventions and maintaining strong ethical safeguards, Geldium can improve collections performance while ensuring responsible and transparent use of AI-driven insights.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2026-06-03T14:17:09.878Z</dcterms:created>
  <dcterms:modified xsi:type="dcterms:W3CDTF">2026-06-03T14:17:09.879Z</dcterms:modified>
</cp:coreProperties>
</file>

<file path=docProps/custom.xml><?xml version="1.0" encoding="utf-8"?>
<Properties xmlns="http://schemas.openxmlformats.org/officeDocument/2006/custom-properties" xmlns:vt="http://schemas.openxmlformats.org/officeDocument/2006/docPropsVTypes"/>
</file>