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" w:hAnsi="Arial" w:eastAsia="Microsoft YaHei"/>
          <w:b/>
          <w:color w:val="2563EB"/>
          <w:sz w:val="24"/>
        </w:rPr>
        <w:t>竞 赛 项 目 计 划 书</w:t>
      </w:r>
    </w:p>
    <w:p>
      <w:pPr>
        <w:spacing w:before="360" w:after="160"/>
        <w:jc w:val="center"/>
      </w:pPr>
      <w:r>
        <w:rPr>
          <w:rFonts w:ascii="Arial" w:hAnsi="Arial" w:eastAsia="Microsoft YaHei"/>
          <w:b/>
          <w:color w:val="17365D"/>
          <w:sz w:val="50"/>
        </w:rPr>
        <w:t>多模态K12人工智能通识课</w:t>
      </w:r>
    </w:p>
    <w:p>
      <w:pPr>
        <w:spacing w:after="320"/>
        <w:jc w:val="center"/>
      </w:pPr>
      <w:r>
        <w:rPr>
          <w:rFonts w:ascii="Arial" w:hAnsi="Arial" w:eastAsia="Microsoft YaHei"/>
          <w:b/>
          <w:color w:val="17365D"/>
          <w:sz w:val="50"/>
        </w:rPr>
        <w:t>教学助手对话智能体</w:t>
      </w:r>
    </w:p>
    <w:p>
      <w:pPr>
        <w:jc w:val="center"/>
      </w:pPr>
      <w:r>
        <w:rPr>
          <w:rFonts w:ascii="Arial" w:hAnsi="Arial" w:eastAsia="Microsoft YaHei"/>
          <w:b w:val="0"/>
          <w:color w:val="2563EB"/>
          <w:sz w:val="30"/>
        </w:rPr>
        <w:t>项目开发与开源成果借鉴计划书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4"/>
        <w:gridCol w:w="4874"/>
      </w:tblGrid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17365D"/>
                <w:sz w:val="20"/>
              </w:rPr>
              <w:t>赛题编号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JBGS-2026-02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17365D"/>
                <w:sz w:val="20"/>
              </w:rPr>
              <w:t>赛道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揭榜挂帅赛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17365D"/>
                <w:sz w:val="20"/>
              </w:rPr>
              <w:t>发榜单位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中国移动通信集团浙江有限公司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17365D"/>
                <w:sz w:val="20"/>
              </w:rPr>
              <w:t>参赛学校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浙大城市学院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right"/>
            </w:pPr>
            <w:r/>
            <w:r>
              <w:rPr>
                <w:rFonts w:ascii="Arial" w:hAnsi="Arial" w:eastAsia="Microsoft YaHei"/>
                <w:b/>
                <w:color w:val="17365D"/>
                <w:sz w:val="20"/>
              </w:rPr>
              <w:t>文档版本</w:t>
            </w:r>
          </w:p>
        </w:tc>
        <w:tc>
          <w:tcPr>
            <w:tcW w:type="dxa" w:w="64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V1.0｜2026年7月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2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color w:val="2563EB"/>
                <w:sz w:val="21"/>
              </w:rPr>
              <w:t xml:space="preserve">项目原则  </w:t>
            </w:r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先完成可运行、可演示、可评价的教学闭环，再扩展多模态功能；开源组件用于缩短基础设施开发周期，学段适配、学情建模、推荐策略和教育交互由团队自主实现。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一、项目摘要</w:t>
      </w:r>
    </w:p>
    <w:p>
      <w:r>
        <w:t>本项目拟构建一套面向小学低年级、小学高年级、初中和高中的人工智能通识课教学助手。系统以大语言模型为基础，以课程知识库为事实来源，以学生画像和知识掌握度为自适应依据，通过对话、动画、绘本、游戏化练习和编程实践等方式，形成“诊断—学习—练习—反馈—调整”的个性化学习闭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8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color w:val="16835B"/>
                <w:sz w:val="21"/>
              </w:rPr>
              <w:t xml:space="preserve">核心判断  </w:t>
            </w:r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作品不能停留在“能聊天”。评审应能看到：同一知识点因学段不同而产生明显不同的教学目标、表达方式、互动形式和练习难度；学生答题后，系统确实改变后续推荐。</w:t>
            </w:r>
          </w:p>
        </w:tc>
      </w:tr>
    </w:tbl>
    <w:p>
      <w:pPr>
        <w:spacing w:after="20"/>
      </w:pPr>
    </w:p>
    <w:p>
      <w:pPr>
        <w:pStyle w:val="Heading2"/>
      </w:pPr>
      <w:r>
        <w:t>1.1 项目目标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完成一个可通过浏览器访问的稳定系统原型，并具备完整演示链路。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实现四学段自适应教学，覆盖知识深度、语言风格、交互形式和评价方式。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实现不少于四类多模态或互动能力：对话问答、动画讲解、游戏化练习，以及绘本或在线编程。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记录学生学习历史、知识点掌握度和兴趣偏好，动态推荐下一学习内容。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形成作品报告、演示视频、答辩PPT、部署说明和源代码等完整成果。</w:t>
      </w:r>
    </w:p>
    <w:p>
      <w:pPr>
        <w:pStyle w:val="Heading2"/>
      </w:pPr>
      <w:r>
        <w:t>1.2 建议的首期课程主题</w:t>
      </w:r>
    </w:p>
    <w:p>
      <w:r>
        <w:t>首期聚焦“人工智能如何学会分类”，用一个主题贯通四个学段。内容可覆盖数据与特征、分类、训练集与测试集、决策树、神经网络直观原理和Python分类实验。先把少量内容做精，再逐步扩充课程。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学段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教学目标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主要表现形式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练习示例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小学低年级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认识“按特征分组”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语音、角色故事、图片选择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帮助机器人把动物送回正确家园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小学高年级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理解特征与规则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互动绘本、拖拽分类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按耳朵、颜色、尾巴完成分类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初中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理解数据训练与测试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动画、流程图、探究问答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比较不同规则的分类效果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高中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理解基本算法并实践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公式直觉、Python、项目任务</w:t>
            </w:r>
          </w:p>
        </w:tc>
        <w:tc>
          <w:tcPr>
            <w:tcW w:type="dxa" w:w="381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完成简单分类器并调试代码</w:t>
            </w:r>
          </w:p>
        </w:tc>
      </w:tr>
    </w:tbl>
    <w:p>
      <w:pPr>
        <w:spacing w:after="40"/>
      </w:pPr>
    </w:p>
    <w:p>
      <w:pPr>
        <w:pStyle w:val="Heading1"/>
      </w:pPr>
      <w:r>
        <w:t>二、赛题要求与评分对照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权重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开发重点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可展示证据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智能体设计合理性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25%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清晰架构、模型调用、年级自适应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架构图、调用链路、四学段回答对比、日志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多模态交互质量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25%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至少三种，建议四种；重视准确性与教学效果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现场操作、动画/绘本、资源引用、编程结果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教育适配性与实用性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20%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课程科学性、难度梯度、学习路径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课程标准、专家审核、学生测试、掌握度变化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用户体验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15%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流程、速度、错误处理、趣味激励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完整用户旅程、响应耗时、徽章与反馈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创新性</w:t>
            </w:r>
          </w:p>
        </w:tc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15%</w:t>
            </w:r>
          </w:p>
        </w:tc>
        <w:tc>
          <w:tcPr>
            <w:tcW w:type="dxa" w:w="32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可解释路径、分层提示、安全护栏</w:t>
            </w:r>
          </w:p>
        </w:tc>
        <w:tc>
          <w:tcPr>
            <w:tcW w:type="dxa" w:w="41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创新对比实验、推荐理由、儿童安全策略</w:t>
            </w:r>
          </w:p>
        </w:tc>
      </w:tr>
    </w:tbl>
    <w:p>
      <w:pPr>
        <w:spacing w:after="40"/>
      </w:pPr>
    </w:p>
    <w:p>
      <w:pPr>
        <w:pStyle w:val="Heading2"/>
      </w:pPr>
      <w:r>
        <w:t>2.1 最小合格版本与冲奖版本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必须具备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暂不要求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最小合格版本（MVP）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登录/游客；学段选择；知识库问答；小测批改；学习记录；一种动画；可部署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长视频生成、复杂多智能体、完整Scratch编辑器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稳定参赛版本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四学段对比；RAG引用；个性化推荐；游戏化；教师资源管理；安全代码执行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覆盖所有K12教材、训练自有大模型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冲奖版本</w:t>
            </w:r>
          </w:p>
        </w:tc>
        <w:tc>
          <w:tcPr>
            <w:tcW w:type="dxa" w:w="63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可解释知识追踪；多模态教学资源调度；分级编程提示；儿童安全护栏；真实用户测试</w:t>
            </w:r>
          </w:p>
        </w:tc>
        <w:tc>
          <w:tcPr>
            <w:tcW w:type="dxa" w:w="18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为炫技而堆叠模型</w:t>
            </w:r>
          </w:p>
        </w:tc>
      </w:tr>
    </w:tbl>
    <w:p>
      <w:pPr>
        <w:spacing w:after="40"/>
      </w:pPr>
    </w:p>
    <w:p>
      <w:pPr>
        <w:pStyle w:val="Heading1"/>
      </w:pPr>
      <w:r>
        <w:t>三、总体技术架构</w:t>
      </w:r>
    </w:p>
    <w:p>
      <w:r>
        <w:t>推荐采用“自研业务系统＋成熟AI基础组件”的松耦合架构。前端、用户体系、课程、学情、推荐、教育策略和多模态交互由团队自研；RAG编排和安全代码执行通过独立服务接入。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推荐技术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自主开发要求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交互层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Vue 3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学生端、教师端、对话、课程、动画、练习、仪表盘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核心自研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业务层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FastAPI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身份、课程、学情、推荐、资源调度、API聚合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核心自研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AI编排层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Dify（首选）或FastGPT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模型调用、提示词工作流、RAG、引用与日志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配置与策略自研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数据层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MySQL＋向量库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用户、课程、答题、掌握度、文档向量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数据模型自研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编程服务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Judge0独立服务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沙箱化编译运行、时间与内存限制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通过API接入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多媒体层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Web动画＋语音/图像API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动画、语音、绘本插图、教学资源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教学内容与交互自研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部署层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Docker Compose＋云服务器</w:t>
            </w:r>
          </w:p>
        </w:tc>
        <w:tc>
          <w:tcPr>
            <w:tcW w:type="dxa" w:w="352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一致环境、一键启动、健康检查</w:t>
            </w:r>
          </w:p>
        </w:tc>
        <w:tc>
          <w:tcPr>
            <w:tcW w:type="dxa" w:w="28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自研部署脚本</w:t>
            </w:r>
          </w:p>
        </w:tc>
      </w:tr>
    </w:tbl>
    <w:p>
      <w:pPr>
        <w:spacing w:after="40"/>
      </w:pPr>
    </w:p>
    <w:p>
      <w:pPr>
        <w:pStyle w:val="Heading2"/>
      </w:pPr>
      <w:r>
        <w:t>3.1 一次教学请求的完整链路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1. 读取学习上下文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后端读取学生学段、当前知识点、历史正确率、兴趣标签和最近对话。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2. 检索可信资料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从对应学段与教材知识库中召回相关内容，保留来源信息。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3. 生成适龄回答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把教学策略、检索内容和对话上下文交给模型，限制输出难度和形式。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4. 触发互动活动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根据知识类型选择动画、绘本、练习或编程任务。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5. 记录与更新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保存学生行为，更新知识掌握度并生成下一步推荐及理由。</w:t>
      </w:r>
    </w:p>
    <w:p>
      <w:pPr>
        <w:pStyle w:val="Heading1"/>
      </w:pPr>
      <w:r>
        <w:t>四、GitHub开源成果借鉴方案</w:t>
      </w:r>
    </w:p>
    <w:p>
      <w:r>
        <w:t>调研未发现一个成熟仓库能够直接覆盖本赛题的全部要求。各模块已有成熟轮子，但“分学段适配＋多模态教学＋个性化闭环”仍需自主整合与创新。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用途定位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可借鉴能力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建议使用方式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许可证/风险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Dify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AI编排底座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RAG、工作流、模型接入、文档解析、日志、API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后台独立部署，通过API调用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修改版Apache 2.0；前端品牌与多租户有限制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FastGPT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Dify备选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中文知识库、混合检索、重排、引用、iframe/API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二选一，不与Dify重复建设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附加条款；Logo与类似SaaS有限制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LearnHouse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教育产品样板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课程、作业、分析、AI、代码运行、交互Playground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参考页面、流程、数据模型；不直接Fork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AGPL-3.0；直接改造开源义务强且过重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Judge0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代码执行服务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90+语言、沙箱、资源限制、JSON API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独立服务部署，业务后端调用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GPL；保持服务边界并保留声明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Algorithm Visualizer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动画设计参考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代码与动画同步、逐步播放、调速、状态可视化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复用思路或合规改造局部组件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MIT；保留版权和许可证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Microsoft AI-Edu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课程体系参考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中文AI教程、案例、实验与项目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重写适龄内容并注明参考来源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代码多为MIT；教程材料有非商业限制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Open WebUI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交互参考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语音、RAG、记忆、图片生成、权限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只参考交互，不作为产品底座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品牌移除存在条件限制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Teaching Assistant 2.0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音视频RAG思路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视频问答、时间段来源定位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参考架构，自主实现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未发现明确许可证，不复制代码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Open edX</w:t>
            </w:r>
          </w:p>
        </w:tc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LMS设计参考</w:t>
            </w:r>
          </w:p>
        </w:tc>
        <w:tc>
          <w:tcPr>
            <w:tcW w:type="dxa" w:w="2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课程层级、进度、测验、讨论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只参考设计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AGPL-3.0；体量过大</w:t>
            </w:r>
          </w:p>
        </w:tc>
      </w:tr>
    </w:tbl>
    <w:p>
      <w:pPr>
        <w:spacing w:after="40"/>
      </w:pPr>
    </w:p>
    <w:p>
      <w:pPr>
        <w:pStyle w:val="Heading2"/>
      </w:pPr>
      <w:r>
        <w:t>4.1 推荐组合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2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color w:val="2563EB"/>
                <w:sz w:val="21"/>
              </w:rPr>
              <w:t xml:space="preserve">推荐方案  </w:t>
            </w:r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Vue学生端/教师端＋FastAPI业务后端＋MySQL＋Dify工作流/RAG＋Judge0代码执行＋自研Vue动画。LearnHouse、Microsoft AI-Edu和Algorithm Visualizer主要作为产品、课程和交互参考。</w:t>
            </w:r>
          </w:p>
        </w:tc>
      </w:tr>
    </w:tbl>
    <w:p>
      <w:pPr>
        <w:spacing w:after="20"/>
      </w:pPr>
    </w:p>
    <w:p>
      <w:pPr>
        <w:pStyle w:val="Heading2"/>
      </w:pPr>
      <w:r>
        <w:t>4.2 开源合规规则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项目根目录建立 THIRD_PARTY_NOTICES.md，记录名称、仓库链接、版本/提交、许可证、使用位置和修改说明。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不删除第三方项目要求保留的Logo、版权或许可证声明。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没有许可证的仓库默认“不可复制”，只允许学习公开思路后独立实现。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不在答辩中把开源能力描述成团队原创；明确团队自主开发的教育策略与业务系统。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对AGPL/GPL或附加条款项目优先采用独立服务调用或仅作参考，并在成果转化前再次进行法律审查。</w:t>
      </w:r>
    </w:p>
    <w:p>
      <w:pPr>
        <w:pStyle w:val="Heading1"/>
      </w:pPr>
      <w:r>
        <w:t>五、核心功能设计</w:t>
      </w:r>
    </w:p>
    <w:p>
      <w:pPr>
        <w:pStyle w:val="Heading2"/>
      </w:pPr>
      <w:r>
        <w:t>5.1 学段自适应教学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控制维度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低龄策略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高中策略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实现位置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语言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短句、少术语、拟人化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准确术语、完整推理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提示词策略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知识深度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现象与生活类比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原理、公式、算法边界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课程图谱＋检索过滤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互动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语音、故事、图像选择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编程、实验、项目任务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前端活动编排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反馈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即时鼓励、弱化分数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错误定位、改进建议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评价策略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安全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避免收集隐私、限制不适龄内容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学术诚信与引用提醒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输入输出护栏</w:t>
            </w:r>
          </w:p>
        </w:tc>
      </w:tr>
    </w:tbl>
    <w:p>
      <w:pPr>
        <w:spacing w:after="40"/>
      </w:pPr>
    </w:p>
    <w:p>
      <w:pPr>
        <w:pStyle w:val="Heading2"/>
      </w:pPr>
      <w:r>
        <w:t>5.2 RAG课程知识库</w:t>
      </w:r>
    </w:p>
    <w:p>
      <w:r>
        <w:t>知识库按“课程—学段—章节—知识点—资源”组织。每个知识点建议包含学习目标、前置知识、核心讲解、生活案例、常见误区、练习题、参考来源和适用学段。回答必须尽量显示资料来源，并在检索不足时明确说明不确定性。</w:t>
      </w:r>
    </w:p>
    <w:p>
      <w:pPr>
        <w:pStyle w:val="Heading2"/>
      </w:pPr>
      <w:r>
        <w:t>5.3 学情建模与推荐</w:t>
      </w:r>
    </w:p>
    <w:p>
      <w:r>
        <w:t>第一版不必使用复杂深度学习。可以为每个“学生—知识点”维护0～100的掌握度：首次诊断给初值，答题正确增加，错误或长时间未学习降低；根据正确率、提示次数和答题时长调整增量。推荐时同时考虑前置知识、掌握度、兴趣和最近学习负荷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8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color w:val="16835B"/>
                <w:sz w:val="21"/>
              </w:rPr>
              <w:t xml:space="preserve">推荐解释模板  </w:t>
            </w:r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“你已经掌握了分类的基本概念，但对特征选择还不稳定。下一步推荐‘寻找关键特征’互动任务，预计8分钟。”</w:t>
            </w:r>
          </w:p>
        </w:tc>
      </w:tr>
    </w:tbl>
    <w:p>
      <w:pPr>
        <w:spacing w:after="20"/>
      </w:pPr>
    </w:p>
    <w:p>
      <w:pPr>
        <w:pStyle w:val="Heading2"/>
      </w:pPr>
      <w:r>
        <w:t>5.4 多模态与互动能力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能力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首版实现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进阶实现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对话问答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文字问答＋引用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语音输入输出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回答适龄、来源可追溯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动画讲解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1个精品分类/排序动画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模型生成动画配置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可播放、暂停、单步、调速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游戏化练习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单选、图片选择、连续答对奖励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关卡、徽章、错题复习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自动批改并说明错因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绘本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预制模板＋动态文字/插图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主题化互动分支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图文一致、适合低龄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在线编程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Python代码框架＋Judge0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分级提示和项目任务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安全运行、错误可理解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教学资源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上传/推荐PPT、Word、视频</w:t>
            </w:r>
          </w:p>
        </w:tc>
        <w:tc>
          <w:tcPr>
            <w:tcW w:type="dxa" w:w="25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自动生成与审核流程</w:t>
            </w:r>
          </w:p>
        </w:tc>
        <w:tc>
          <w:tcPr>
            <w:tcW w:type="dxa" w:w="33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资源与知识点准确匹配</w:t>
            </w:r>
          </w:p>
        </w:tc>
      </w:tr>
    </w:tbl>
    <w:p>
      <w:pPr>
        <w:spacing w:after="40"/>
      </w:pPr>
    </w:p>
    <w:p>
      <w:pPr>
        <w:pStyle w:val="Heading1"/>
      </w:pPr>
      <w:r>
        <w:t>六、数据模型与接口规划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数据对象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关键字段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用户 users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id、角色、学段、年级、兴趣、创建时间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学生/教师身份与基础画像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 courses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名称、学段、简介、状态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课程管理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章节 chapters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course_id、顺序、标题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课程结构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知识点 knowledge_points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前置点、难度、目标、标签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知识图谱与推荐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资源 resources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类型、地址、来源、适用学段、审核状态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多模态内容管理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学习记录 learning_records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学生、知识点、开始/完成时间、行为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学习历史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答题记录 quiz_attempts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题目、答案、正误、用时、提示次数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掌握度更新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掌握度 mastery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学生、知识点、分数、更新时间、证据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个性化推荐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会话 conversations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会话、消息、引用、耗时、模型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对话追踪与调优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推荐 recommendations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推荐内容、原因、状态、时间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可解释学习路径</w:t>
            </w:r>
          </w:p>
        </w:tc>
      </w:tr>
    </w:tbl>
    <w:p>
      <w:pPr>
        <w:spacing w:after="40"/>
      </w:pPr>
    </w:p>
    <w:p>
      <w:pPr>
        <w:pStyle w:val="Heading2"/>
      </w:pPr>
      <w:r>
        <w:t>6.1 首批API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方法与路径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作用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MVP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POST /api/auth/login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登录并返回身份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GET /api/courses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按学段获取课程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POST /api/chat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教学对话与RAG引用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POST /api/quizzes/generate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生成适龄练习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POST /api/quizzes/submit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批改并更新掌握度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GET /api/learning-path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获取推荐及理由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是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POST /api/code/run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调用Judge0执行代码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第二阶段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POST /api/resources/upload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教师上传资料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第二阶段</w:t>
            </w:r>
          </w:p>
        </w:tc>
      </w:tr>
      <w:tr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GET /api/analytics/student</w:t>
            </w:r>
          </w:p>
        </w:tc>
        <w:tc>
          <w:tcPr>
            <w:tcW w:type="dxa" w:w="38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查看个人学情</w:t>
            </w:r>
          </w:p>
        </w:tc>
        <w:tc>
          <w:tcPr>
            <w:tcW w:type="dxa" w:w="7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第二阶段</w:t>
            </w:r>
          </w:p>
        </w:tc>
      </w:tr>
    </w:tbl>
    <w:p>
      <w:pPr>
        <w:spacing w:after="40"/>
      </w:pPr>
    </w:p>
    <w:p>
      <w:pPr>
        <w:pStyle w:val="Heading1"/>
      </w:pPr>
      <w:r>
        <w:t>七、分阶段开发计划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周期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主要任务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产出物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验收标准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0. 项目准备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第1周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确定队伍、指导老师、校内时间；Git仓库；需求冻结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项目章程、分工、风险表、仓库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所有成员能拉取并启动Hello World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1. 最小链路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第1～2周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Vue请求FastAPI；数据库；基础登录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前后端骨架、数据库脚本、README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新电脑按README启动，接口返回正常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2. 教学对话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第2～3周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接入模型；Dify/RAG；流式回答；引用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可用聊天页、知识库、测试问题集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20个标准问题回答准确且有来源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3. 学段适配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第3～4周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四学段策略、课程过滤、输出约束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策略配置、四学段对比案例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同题四答差异稳定且内容正确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4. 学习闭环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第4～6周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练习、批改、掌握度、推荐理由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题库、答题记录、学习路径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不同答题结果产生不同推荐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5. 多模态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第6～8周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动画、绘本/语音、在线编程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至少四类可演示能力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每类有完整教学目的和失败兜底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6. 教师与分析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第8～9周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资源上传、审核、学生分析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教师端、学情仪表盘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教师能查看薄弱点并调整内容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7. 部署测试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第9～10周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Docker、服务器、测试、安全、性能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部署说明、测试报告、备份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陌生设备稳定访问；演示流程无阻塞</w:t>
            </w:r>
          </w:p>
        </w:tc>
      </w:tr>
      <w:tr>
        <w:tc>
          <w:tcPr>
            <w:tcW w:type="dxa" w:w="16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8. 参赛材料</w:t>
            </w:r>
          </w:p>
        </w:tc>
        <w:tc>
          <w:tcPr>
            <w:tcW w:type="dxa" w:w="10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截止前2周</w:t>
            </w:r>
          </w:p>
        </w:tc>
        <w:tc>
          <w:tcPr>
            <w:tcW w:type="dxa" w:w="345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报告、PPT、视频、答辩、备用方案</w:t>
            </w:r>
          </w:p>
        </w:tc>
        <w:tc>
          <w:tcPr>
            <w:tcW w:type="dxa" w:w="230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完整提交包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材料一致，演示控制在规定时长内</w:t>
            </w:r>
          </w:p>
        </w:tc>
      </w:tr>
    </w:tbl>
    <w:p>
      <w:pPr>
        <w:spacing w:after="40"/>
      </w:pPr>
    </w:p>
    <w:p>
      <w:pPr>
        <w:pStyle w:val="Heading2"/>
      </w:pPr>
      <w:r>
        <w:t>7.1 每周固定工程节奏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周一：确定本周用户故事和验收标准，不临时增加大功能。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周二至周四：按小分支开发；每个功能至少一人开发、一人复核。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周五：合并、测试、录制30～60秒功能证据。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周末：修复缺陷、更新README、风险表、项目报告素材和下周计划。</w:t>
      </w:r>
    </w:p>
    <w:p>
      <w:pPr>
        <w:pStyle w:val="Heading1"/>
      </w:pPr>
      <w:r>
        <w:t>八、团队分工建议</w:t>
      </w:r>
    </w:p>
    <w:p>
      <w:r>
        <w:t>揭榜挂帅赛队伍可较大，但建议采用5～6人的紧凑核心团队。每个关键模块必须有主负责人和备份人，避免“只有一个人能运行”。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主要职责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建议人数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关键交付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项目/产品负责人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需求、进度、评分对照、答辩、协调教师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需求文档、迭代计划、材料一致性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前端与交互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学生端、教师端、动画、适龄UI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1～2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可用页面与交互组件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后端与数据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FastAPI、数据库、权限、学情、推荐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1～2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API、数据模型、日志与测试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AI/RAG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知识库、提示词、模型评测、安全护栏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1～2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工作流、评测集、调用策略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课程与教育设计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课程体系、难度梯度、题目、用户测试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课程包、审核记录、教学评价</w:t>
            </w:r>
          </w:p>
        </w:tc>
      </w:tr>
      <w:tr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部署与测试</w:t>
            </w:r>
          </w:p>
        </w:tc>
        <w:tc>
          <w:tcPr>
            <w:tcW w:type="dxa" w:w="460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Docker、服务器、性能、安全、演示保障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1（可兼任）</w:t>
            </w:r>
          </w:p>
        </w:tc>
        <w:tc>
          <w:tcPr>
            <w:tcW w:type="dxa" w:w="30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部署脚本、测试报告、故障预案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2FF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color w:val="2563EB"/>
                <w:sz w:val="21"/>
              </w:rPr>
              <w:t xml:space="preserve">对队长的建议  </w:t>
            </w:r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不要按“前端做完再给后端”顺序串行推进。以一个用户故事为单位，由前端、后端、AI和课程成员共同完成可演示闭环。</w:t>
            </w:r>
          </w:p>
        </w:tc>
      </w:tr>
    </w:tbl>
    <w:p>
      <w:pPr>
        <w:spacing w:after="20"/>
      </w:pPr>
    </w:p>
    <w:p>
      <w:pPr>
        <w:pStyle w:val="Heading1"/>
      </w:pPr>
      <w:r>
        <w:t>九、工程规范与开发注意事项</w:t>
      </w:r>
    </w:p>
    <w:p>
      <w:pPr>
        <w:pStyle w:val="Heading2"/>
      </w:pPr>
      <w:r>
        <w:t>9.1 Git协作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main分支始终保持可运行；功能在feature/xxx分支完成后合并。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提交信息描述结果，例如“feat: 完成学段选择与后端保存”，避免“改一下”。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禁止把.env、API密钥、学生隐私数据、大模型权重和数据库备份提交到GitHub。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大文件使用对象存储、Git LFS或Release，不直接塞入普通Git历史。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每个Pull Request写清改动、测试方式、截图和潜在影响。</w:t>
      </w:r>
    </w:p>
    <w:p>
      <w:pPr>
        <w:pStyle w:val="Heading2"/>
      </w:pPr>
      <w:r>
        <w:t>9.2 环境与可复现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固定Python、Node.js、数据库和Docker版本。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后端维护requirements.txt或pyproject.toml，前端锁定package-lock.json。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根目录README必须包含安装、配置、启动、测试、常见错误和演示账号。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提供.env.example，只写变量名和示例，不含真实密钥。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使用Docker Compose统一启动数据库、后端、RAG和代码服务。</w:t>
      </w:r>
    </w:p>
    <w:p>
      <w:pPr>
        <w:pStyle w:val="Heading2"/>
      </w:pPr>
      <w:r>
        <w:t>9.3 安全与K12特殊要求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最小化收集儿童个人信息，演示数据使用虚构账号。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对不适龄、自伤、违法、隐私索取等内容设置输入输出护栏。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在线代码必须在沙箱中执行，设置CPU、内存、时间和网络限制。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模型输出不能直接作为教材事实；建立知识来源、自动检查和教师审核机制。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避免“代做作业”，优先使用启发、分级提示和反问。</w:t>
      </w:r>
    </w:p>
    <w:p>
      <w:pPr>
        <w:pStyle w:val="Heading1"/>
      </w:pPr>
      <w:r>
        <w:t>十、测试与验收计划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测试类别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测试方法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核心指标/门槛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功能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按用户故事逐项操作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关键流程通过率100%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知识准确性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建立50～100个标准问题与参考答案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关键事实错误为0；能显示来源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学段适配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同题四学段盲评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语言、深度、活动差异明显且适龄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个性化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构造高/低掌握度学生轨迹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推荐内容和理由随表现变化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多模态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逐项检查动画、语音、绘本、编程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至少三种稳定，建议四种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性能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记录首字响应和完整响应时间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常用操作流畅；超时有提示和重试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安全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提示词注入、隐私、不适龄内容、恶意代码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拒答或安全引导；代码不逃逸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兼容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Chrome/Edge、不同分辨率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演示设备与备用设备均可使用</w:t>
            </w:r>
          </w:p>
        </w:tc>
      </w:tr>
      <w:tr>
        <w:tc>
          <w:tcPr>
            <w:tcW w:type="dxa" w:w="151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用户测试</w:t>
            </w:r>
          </w:p>
        </w:tc>
        <w:tc>
          <w:tcPr>
            <w:tcW w:type="dxa" w:w="43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至少邀请不同年龄或教育背景用户试用</w:t>
            </w:r>
          </w:p>
        </w:tc>
        <w:tc>
          <w:tcPr>
            <w:tcW w:type="dxa" w:w="48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记录问题、修改证据和满意度</w:t>
            </w:r>
          </w:p>
        </w:tc>
      </w:tr>
    </w:tbl>
    <w:p>
      <w:pPr>
        <w:spacing w:after="40"/>
      </w:pPr>
    </w:p>
    <w:p>
      <w:pPr>
        <w:pStyle w:val="Heading2"/>
      </w:pPr>
      <w:r>
        <w:t>10.1 演示验收主线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1. 选择学段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选择“小学高年级”，系统载入对应课程和表达策略。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2. 完成诊断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学生回答3～5道题，得到初始掌握度。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3. 开始学习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AI围绕“分类与特征”讲解，并显示知识来源。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4. 进入动画/绘本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系统依据学段调用适合的互动活动。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5. 完成练习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自动批改，针对错因给出适龄提示。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6. 形成路径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系统更新掌握度，推荐下一任务并解释原因。</w:t>
      </w:r>
    </w:p>
    <w:p>
      <w:pPr>
        <w:spacing w:before="100" w:after="40"/>
      </w:pPr>
      <w:r>
        <w:rPr>
          <w:rFonts w:ascii="Arial" w:hAnsi="Arial" w:eastAsia="Microsoft YaHei"/>
          <w:b/>
          <w:color w:val="2563EB"/>
          <w:sz w:val="22"/>
        </w:rPr>
        <w:t>7. 切换高中</w:t>
      </w:r>
    </w:p>
    <w:p>
      <w:pPr>
        <w:spacing w:after="100" w:line="276" w:lineRule="auto"/>
        <w:ind w:left="331"/>
      </w:pPr>
      <w:r>
        <w:rPr>
          <w:rFonts w:ascii="Arial" w:hAnsi="Arial" w:eastAsia="Microsoft YaHei"/>
          <w:b w:val="0"/>
          <w:color w:val="1F2937"/>
          <w:sz w:val="20"/>
        </w:rPr>
        <w:t>对同一知识点展示算法、代码和项目式学习差异。</w:t>
      </w:r>
    </w:p>
    <w:p>
      <w:pPr>
        <w:pStyle w:val="Heading1"/>
      </w:pPr>
      <w:r>
        <w:t>十一、风险清单与应对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7"/>
        <w:gridCol w:w="2437"/>
        <w:gridCol w:w="2437"/>
        <w:gridCol w:w="2437"/>
      </w:tblGrid>
      <w:tr>
        <w:trPr>
          <w:tblHeader w:val="true"/>
        </w:trP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风险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影响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预警信号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应对措施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功能范围失控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无法按期交付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每周新增多个大功能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冻结MVP；新需求进入后续清单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模型回答错误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教育可信度降低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标准问题频繁失分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RAG、引用、拒答阈值、教师审核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API不稳定/费用高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演示中断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延迟或限额频发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缓存、备用模型、预生成演示资源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开源合规不清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成果转化/评审风险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无许可证或去除Logo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第三方清单；不明代码不复制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在线代码安全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服务器风险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代码超时/资源异常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Judge0隔离、限时限存、禁网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只有一人会部署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现场恢复困难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其他成员无法启动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一键脚本、双人演练、离线录像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内容过多质量低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多模态得分不高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每类只有表面展示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少而精；每项绑定教学目标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缺少真实验证</w:t>
            </w:r>
          </w:p>
        </w:tc>
        <w:tc>
          <w:tcPr>
            <w:tcW w:type="dxa" w:w="129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实用性证据不足</w:t>
            </w:r>
          </w:p>
        </w:tc>
        <w:tc>
          <w:tcPr>
            <w:tcW w:type="dxa" w:w="29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只有团队自测</w:t>
            </w:r>
          </w:p>
        </w:tc>
        <w:tc>
          <w:tcPr>
            <w:tcW w:type="dxa" w:w="47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邀请学生/教师测试并留存记录</w:t>
            </w:r>
          </w:p>
        </w:tc>
      </w:tr>
    </w:tbl>
    <w:p>
      <w:pPr>
        <w:spacing w:after="40"/>
      </w:pPr>
    </w:p>
    <w:p>
      <w:pPr>
        <w:pStyle w:val="Heading1"/>
      </w:pPr>
      <w:r>
        <w:t>十二、近期两周行动清单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50"/>
        <w:gridCol w:w="1950"/>
        <w:gridCol w:w="1950"/>
        <w:gridCol w:w="1950"/>
        <w:gridCol w:w="1950"/>
      </w:tblGrid>
      <w:tr>
        <w:trPr>
          <w:tblHeader w:val="true"/>
        </w:trP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任务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负责人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截止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确认浙大城市学院报名与提交节点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队长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立即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形成正式赛事时间表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加入赛题答疑群并整理平台/API/资源问题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队长＋AI负责人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2天内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提交并记录官方答复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确定5～6人核心团队与指导教师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全队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3天内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角色、主责、备份人明确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4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建立GitHub仓库、目录、分支和Issue模板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后端/部署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3天内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成员均能Clone和提交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5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完成Vue→FastAPI最小请求链路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前后端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第1周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网页显示后端返回内容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6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部署Dify或使用云端试验，导入5份课程资料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AI/RAG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第1周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可基于资料回答并引用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7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确定首期课程“分类”知识点与四学段目标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课程负责人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第1周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形成10～15个知识点表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8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完成四学段同题回答原型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AI/RAG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第2周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至少10道题对比稳定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9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设计学生端核心流程低保真图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前端/产品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第2周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覆盖诊断—学习—练习—推荐</w:t>
            </w:r>
          </w:p>
        </w:tc>
      </w:tr>
      <w:tr>
        <w:tc>
          <w:tcPr>
            <w:tcW w:type="dxa" w:w="6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10</w:t>
            </w:r>
          </w:p>
        </w:tc>
        <w:tc>
          <w:tcPr>
            <w:tcW w:type="dxa" w:w="468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建立标准问题集和验收表</w:t>
            </w:r>
          </w:p>
        </w:tc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测试/课程</w:t>
            </w:r>
          </w:p>
        </w:tc>
        <w:tc>
          <w:tcPr>
            <w:tcW w:type="dxa" w:w="11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第2周</w:t>
            </w:r>
          </w:p>
        </w:tc>
        <w:tc>
          <w:tcPr>
            <w:tcW w:type="dxa" w:w="26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不少于20个问题和预期结果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49"/>
      </w:tblGrid>
      <w:tr>
        <w:tc>
          <w:tcPr>
            <w:tcW w:type="dxa" w:w="9749"/>
            <w:shd w:fill="EAF8F2"/>
            <w:tcMar>
              <w:top w:w="150" w:type="dxa"/>
              <w:start w:w="170" w:type="dxa"/>
              <w:bottom w:w="150" w:type="dxa"/>
              <w:end w:w="17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" w:hAnsi="Arial" w:eastAsia="Microsoft YaHei"/>
                <w:b/>
                <w:color w:val="16835B"/>
                <w:sz w:val="21"/>
              </w:rPr>
              <w:t xml:space="preserve">第一技术里程碑  </w:t>
            </w:r>
            <w:r>
              <w:rPr>
                <w:rFonts w:ascii="Arial" w:hAnsi="Arial" w:eastAsia="Microsoft YaHei"/>
                <w:b w:val="0"/>
                <w:color w:val="1F2937"/>
                <w:sz w:val="20"/>
              </w:rPr>
              <w:t>两周后，团队应能现场展示：学生选择学段→询问AI知识问题→系统根据指定课程资料回答并给出来源→同一问题在四个学段呈现不同讲法。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附录A：推荐仓库与用途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50"/>
        <w:gridCol w:w="3250"/>
        <w:gridCol w:w="3250"/>
      </w:tblGrid>
      <w:tr>
        <w:trPr>
          <w:tblHeader w:val="true"/>
        </w:trP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GitHub地址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7365D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rial" w:hAnsi="Arial" w:eastAsia="Microsoft YaHei"/>
                <w:b/>
                <w:color w:val="FFFFFF"/>
                <w:sz w:val="18"/>
              </w:rPr>
              <w:t>主要用途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Dify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https://github.com/langgenius/dify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RAG与工作流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FastGPT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https://github.com/labring/FastGPT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中文知识库备选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LearnHouse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https://github.com/learnhouse/learnhouse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教育产品架构参考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Judge0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https://github.com/judge0/judge0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代码执行服务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Algorithm Visualizer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https://github.com/algorithm-visualizer/algorithm-visualizer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算法动画参考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Microsoft AI-Edu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https://github.com/microsoft/ai-edu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AI课程体系参考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Open WebUI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https://github.com/open-webui/open-webui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通用对话交互参考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Teaching Assistant 2.0 RAG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https://github.com/Vrushank264/Teaching-Assistant-2.0-RAG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5F8FC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视频RAG思路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Open edX</w:t>
            </w:r>
          </w:p>
        </w:tc>
        <w:tc>
          <w:tcPr>
            <w:tcW w:type="dxa" w:w="54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https://github.com/openedx/openedx-platform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52" w:lineRule="auto"/>
              <w:jc w:val="left"/>
            </w:pPr>
            <w:r/>
            <w:r>
              <w:rPr>
                <w:rFonts w:ascii="Arial" w:hAnsi="Arial" w:eastAsia="Microsoft YaHei"/>
                <w:b w:val="0"/>
                <w:color w:val="1F2937"/>
                <w:sz w:val="17"/>
              </w:rPr>
              <w:t>LMS设计参考</w:t>
            </w:r>
          </w:p>
        </w:tc>
      </w:tr>
    </w:tbl>
    <w:p>
      <w:pPr>
        <w:spacing w:after="40"/>
      </w:pPr>
    </w:p>
    <w:p>
      <w:pPr>
        <w:pStyle w:val="Heading1"/>
      </w:pPr>
      <w:r>
        <w:t>附录B：提交成果清单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可运行系统原型与演示账号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完整源代码、依赖清单和README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Docker部署文件与部署说明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项目报告PDF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作品介绍PPT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作品演示视频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系统架构图、数据模型图和关键流程图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测试报告、用户测试记录和性能数据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第三方开源软件与许可证清单</w:t>
      </w:r>
    </w:p>
    <w:p>
      <w:pPr>
        <w:pStyle w:val="ListBullet"/>
        <w:spacing w:after="40" w:line="269" w:lineRule="auto"/>
      </w:pPr>
      <w:r>
        <w:rPr>
          <w:rFonts w:ascii="Arial" w:hAnsi="Arial" w:eastAsia="Microsoft YaHei"/>
          <w:b w:val="0"/>
          <w:color w:val="1F2937"/>
          <w:sz w:val="20"/>
        </w:rPr>
        <w:t>答辩问题库、现场演示脚本和故障备用方案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037" w:right="1037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  <w:r>
      <w:rPr>
        <w:rFonts w:ascii="Arial" w:hAnsi="Arial" w:eastAsia="Microsoft YaHei"/>
        <w:b w:val="0"/>
        <w:color w:val="667085"/>
        <w:sz w:val="17"/>
      </w:rPr>
      <w:t xml:space="preserve">  /  项目计划书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Microsoft YaHei"/>
        <w:b w:val="0"/>
        <w:color w:val="667085"/>
        <w:sz w:val="17"/>
      </w:rPr>
      <w:t>中国移动杯·第二届浙江省大学生人工智能竞赛｜JBGS-2026-02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8" w:lineRule="auto"/>
    </w:pPr>
    <w:rPr>
      <w:rFonts w:ascii="Arial" w:hAnsi="Arial" w:eastAsia="Microsoft YaHei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16835B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eastAsia="Microsoft YaHei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 w:eastAsia="Microsoft YaHei"/>
      <w:sz w:val="2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多模态K12人工智能教学助手项目开发与开源成果借鉴计划书</dc:title>
  <dc:subject>中国移动杯·第二届浙江省大学生人工智能竞赛 JBGS-2026-02</dc:subject>
  <dc:creator>项目团队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