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3FEB" w:rsidRPr="00C34613" w:rsidRDefault="00B93FEB" w:rsidP="00C34613">
      <w:pPr>
        <w:spacing w:after="0"/>
        <w:jc w:val="both"/>
        <w:rPr>
          <w:rFonts w:ascii="Cambria" w:hAnsi="Cambria"/>
          <w:b/>
          <w:bCs/>
          <w:sz w:val="32"/>
        </w:rPr>
      </w:pPr>
      <w:r w:rsidRPr="00C34613">
        <w:rPr>
          <w:rFonts w:ascii="Cambria" w:hAnsi="Cambria"/>
          <w:b/>
          <w:bCs/>
          <w:sz w:val="32"/>
        </w:rPr>
        <w:t>Name: Yolisa Qadi</w:t>
      </w:r>
    </w:p>
    <w:p w:rsidR="00B93FEB" w:rsidRPr="00C34613" w:rsidRDefault="00B93FEB" w:rsidP="00C34613">
      <w:pPr>
        <w:spacing w:after="0"/>
        <w:jc w:val="both"/>
        <w:rPr>
          <w:rFonts w:ascii="Cambria" w:hAnsi="Cambria"/>
          <w:b/>
          <w:bCs/>
          <w:sz w:val="32"/>
        </w:rPr>
      </w:pPr>
      <w:r w:rsidRPr="00C34613">
        <w:rPr>
          <w:rFonts w:ascii="Cambria" w:hAnsi="Cambria"/>
          <w:b/>
          <w:bCs/>
          <w:sz w:val="32"/>
        </w:rPr>
        <w:t>Country: South Africa</w:t>
      </w:r>
    </w:p>
    <w:p w:rsidR="00B93FEB" w:rsidRPr="00C34613" w:rsidRDefault="00C34613" w:rsidP="00C34613">
      <w:pPr>
        <w:spacing w:after="0"/>
        <w:jc w:val="both"/>
        <w:rPr>
          <w:rFonts w:ascii="Cambria" w:hAnsi="Cambria"/>
          <w:sz w:val="24"/>
        </w:rPr>
      </w:pPr>
      <w:r>
        <w:rPr>
          <w:rFonts w:ascii="Cambria" w:hAnsi="Cambria"/>
          <w:bCs/>
          <w:sz w:val="24"/>
        </w:rPr>
        <w:t>Week 5</w:t>
      </w:r>
      <w:r w:rsidR="00B93FEB" w:rsidRPr="00C34613">
        <w:rPr>
          <w:rFonts w:ascii="Cambria" w:hAnsi="Cambria"/>
          <w:bCs/>
          <w:sz w:val="24"/>
        </w:rPr>
        <w:t xml:space="preserve"> Assignment</w:t>
      </w:r>
    </w:p>
    <w:p w:rsidR="00C34613" w:rsidRPr="00C34613" w:rsidRDefault="00C34613" w:rsidP="00C34613">
      <w:pPr>
        <w:spacing w:after="0"/>
        <w:jc w:val="both"/>
        <w:rPr>
          <w:rFonts w:ascii="Cambria" w:hAnsi="Cambria"/>
          <w:sz w:val="24"/>
        </w:rPr>
      </w:pPr>
      <w:r w:rsidRPr="00C34613">
        <w:rPr>
          <w:rFonts w:ascii="Cambria" w:hAnsi="Cambria"/>
          <w:sz w:val="24"/>
        </w:rPr>
        <w:t>Evaluating Patient Readmission Risk: Applying the AI Development Workflow to Healthcare</w:t>
      </w:r>
    </w:p>
    <w:p w:rsid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Abstract</w:t>
      </w:r>
    </w:p>
    <w:p w:rsidR="00C34613" w:rsidRPr="00C34613" w:rsidRDefault="00C34613" w:rsidP="00C34613">
      <w:pPr>
        <w:spacing w:after="0"/>
        <w:ind w:firstLine="720"/>
        <w:jc w:val="both"/>
        <w:rPr>
          <w:rFonts w:ascii="Cambria" w:hAnsi="Cambria"/>
          <w:sz w:val="24"/>
        </w:rPr>
      </w:pPr>
      <w:r w:rsidRPr="00C34613">
        <w:rPr>
          <w:rFonts w:ascii="Cambria" w:hAnsi="Cambria"/>
          <w:sz w:val="24"/>
        </w:rPr>
        <w:t xml:space="preserve">With the implementation of the Hospital Readmission Reduction Program by the </w:t>
      </w:r>
      <w:proofErr w:type="spellStart"/>
      <w:r w:rsidRPr="00C34613">
        <w:rPr>
          <w:rFonts w:ascii="Cambria" w:hAnsi="Cambria"/>
          <w:sz w:val="24"/>
        </w:rPr>
        <w:t>Centers</w:t>
      </w:r>
      <w:proofErr w:type="spellEnd"/>
      <w:r w:rsidRPr="00C34613">
        <w:rPr>
          <w:rFonts w:ascii="Cambria" w:hAnsi="Cambria"/>
          <w:sz w:val="24"/>
        </w:rPr>
        <w:t xml:space="preserve"> for Medicare and Medicaid Services, predicting patient readmission risk has become a critical challenge within healthcare. Numerous studies have attempted to develop predictive models for readmission, yet many face limitations regarding accuracy and real-world deployment. This research paper applies the AI Development Workflow to the problem of predicting patient readmission risk within 30 days of discharge, systematically examining each workflow stage from problem definition through deployment. Drawing on existing literature and recent advancements, the paper analyzes technical and ethical challenges, stakeholder perspectives, and real-world constraints, while also providing critical reflections on model evaluation, bias mitigation, and workflow optimization.</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Introduction</w:t>
      </w:r>
    </w:p>
    <w:p w:rsidR="00C34613" w:rsidRPr="00C34613" w:rsidRDefault="00C34613" w:rsidP="00C34613">
      <w:pPr>
        <w:spacing w:after="0"/>
        <w:ind w:firstLine="720"/>
        <w:jc w:val="both"/>
        <w:rPr>
          <w:rFonts w:ascii="Cambria" w:hAnsi="Cambria"/>
          <w:sz w:val="24"/>
        </w:rPr>
      </w:pPr>
      <w:r w:rsidRPr="00C34613">
        <w:rPr>
          <w:rFonts w:ascii="Cambria" w:hAnsi="Cambria"/>
          <w:sz w:val="24"/>
        </w:rPr>
        <w:t>Hospital readmissions are not only costly but also indicative of healthcare quality concerns (Choudhury &amp; Greene, 2018). The ability to accurately predict which patients are at high risk of being readmitted within a short time frame after discharge is paramount for both patient outcomes and the financial sustainability of healthcare providers. The intersection of artificial intelligence (AI) and healthcare presents an opportunity to address this challenge through data-driven predictive analytics. However, the deployment of AI in such sensitive contexts requires rigorous attention to workflow best practices, technical accuracy, ethical considerations, and stakeholder engagement.</w:t>
      </w:r>
    </w:p>
    <w:p w:rsidR="00C34613" w:rsidRPr="00C34613" w:rsidRDefault="00C34613" w:rsidP="00C34613">
      <w:pPr>
        <w:spacing w:after="0"/>
        <w:ind w:firstLine="720"/>
        <w:jc w:val="both"/>
        <w:rPr>
          <w:rFonts w:ascii="Cambria" w:hAnsi="Cambria"/>
          <w:sz w:val="24"/>
        </w:rPr>
      </w:pPr>
    </w:p>
    <w:p w:rsidR="00C34613" w:rsidRPr="00C34613" w:rsidRDefault="00C34613" w:rsidP="00C34613">
      <w:pPr>
        <w:spacing w:after="0"/>
        <w:ind w:firstLine="720"/>
        <w:jc w:val="both"/>
        <w:rPr>
          <w:rFonts w:ascii="Cambria" w:hAnsi="Cambria"/>
          <w:sz w:val="24"/>
        </w:rPr>
      </w:pPr>
      <w:r w:rsidRPr="00C34613">
        <w:rPr>
          <w:rFonts w:ascii="Cambria" w:hAnsi="Cambria"/>
          <w:sz w:val="24"/>
        </w:rPr>
        <w:t>This paper appl</w:t>
      </w:r>
      <w:r>
        <w:rPr>
          <w:rFonts w:ascii="Cambria" w:hAnsi="Cambria"/>
          <w:sz w:val="24"/>
        </w:rPr>
        <w:t xml:space="preserve">ies the AI Development Workflow </w:t>
      </w:r>
      <w:r w:rsidRPr="00C34613">
        <w:rPr>
          <w:rFonts w:ascii="Cambria" w:hAnsi="Cambria"/>
          <w:sz w:val="24"/>
        </w:rPr>
        <w:t xml:space="preserve">encompassing problem definition, data collection and </w:t>
      </w:r>
      <w:proofErr w:type="spellStart"/>
      <w:r w:rsidRPr="00C34613">
        <w:rPr>
          <w:rFonts w:ascii="Cambria" w:hAnsi="Cambria"/>
          <w:sz w:val="24"/>
        </w:rPr>
        <w:t>preprocessing</w:t>
      </w:r>
      <w:proofErr w:type="spellEnd"/>
      <w:r w:rsidRPr="00C34613">
        <w:rPr>
          <w:rFonts w:ascii="Cambria" w:hAnsi="Cambria"/>
          <w:sz w:val="24"/>
        </w:rPr>
        <w:t>, model development, evaluatio</w:t>
      </w:r>
      <w:r>
        <w:rPr>
          <w:rFonts w:ascii="Cambria" w:hAnsi="Cambria"/>
          <w:sz w:val="24"/>
        </w:rPr>
        <w:t xml:space="preserve">n, deployment, and optimization </w:t>
      </w:r>
      <w:r w:rsidRPr="00C34613">
        <w:rPr>
          <w:rFonts w:ascii="Cambria" w:hAnsi="Cambria"/>
          <w:sz w:val="24"/>
        </w:rPr>
        <w:t>to the concrete case of predicting 30-day patient readmission risk. Through a structured analysis, it investigates the practical and ethical complexities inherent in AI-driven healthcare solutions, referencing contemporary research and established frameworks.</w:t>
      </w:r>
    </w:p>
    <w:p w:rsidR="00C34613" w:rsidRPr="00C34613" w:rsidRDefault="00C34613" w:rsidP="00C34613">
      <w:pPr>
        <w:spacing w:after="0"/>
        <w:jc w:val="both"/>
        <w:rPr>
          <w:rFonts w:ascii="Cambria" w:hAnsi="Cambria"/>
          <w:sz w:val="24"/>
        </w:rPr>
      </w:pPr>
    </w:p>
    <w:p w:rsidR="00C34613" w:rsidRPr="00042850" w:rsidRDefault="00C34613" w:rsidP="00C34613">
      <w:pPr>
        <w:spacing w:after="0" w:line="240" w:lineRule="auto"/>
        <w:jc w:val="both"/>
        <w:rPr>
          <w:rFonts w:ascii="Cambria" w:hAnsi="Cambria"/>
          <w:b/>
          <w:sz w:val="24"/>
        </w:rPr>
      </w:pPr>
      <w:r w:rsidRPr="00042850">
        <w:rPr>
          <w:rFonts w:ascii="Cambria" w:hAnsi="Cambria"/>
          <w:b/>
          <w:sz w:val="24"/>
        </w:rPr>
        <w:t>Part 1: Short Answer Questions</w:t>
      </w: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1. Problem Definition</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The hypothetical AI problem addressed is “Predicting patient readmission risk within 30 days of hospital discharge.”</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Objectives: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Accurately identify patients at high risk for 30-day readmission.</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Enable clinicians to target interventions for at-risk patients.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Reduce unnecessary hospital readmissions and associated costs.</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lastRenderedPageBreak/>
        <w:t>Stakeholders: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Hospital administrators (concerned with cost and compliance).</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Clinicians (responsible for patient care and intervention decisions).</w:t>
      </w:r>
    </w:p>
    <w:p w:rsidR="00C34613" w:rsidRPr="00C34613" w:rsidRDefault="00C34613" w:rsidP="00C34613">
      <w:pPr>
        <w:spacing w:after="0" w:line="240" w:lineRule="auto"/>
        <w:jc w:val="both"/>
        <w:rPr>
          <w:rFonts w:ascii="Cambria" w:hAnsi="Cambria"/>
          <w:sz w:val="24"/>
        </w:rPr>
      </w:pPr>
    </w:p>
    <w:p w:rsidR="00C34613" w:rsidRPr="00042850" w:rsidRDefault="00C34613" w:rsidP="00C34613">
      <w:pPr>
        <w:spacing w:after="0" w:line="240" w:lineRule="auto"/>
        <w:jc w:val="both"/>
        <w:rPr>
          <w:rFonts w:ascii="Cambria" w:hAnsi="Cambria"/>
          <w:b/>
          <w:sz w:val="24"/>
        </w:rPr>
      </w:pPr>
      <w:r w:rsidRPr="00042850">
        <w:rPr>
          <w:rFonts w:ascii="Cambria" w:hAnsi="Cambria"/>
          <w:b/>
          <w:sz w:val="24"/>
        </w:rPr>
        <w:t>K</w:t>
      </w:r>
      <w:r w:rsidR="00042850" w:rsidRPr="00042850">
        <w:rPr>
          <w:rFonts w:ascii="Cambria" w:hAnsi="Cambria"/>
          <w:b/>
          <w:sz w:val="24"/>
        </w:rPr>
        <w:t>ey Performance Indicator (KPI):</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 xml:space="preserve">Area </w:t>
      </w:r>
      <w:proofErr w:type="gramStart"/>
      <w:r w:rsidRPr="00C34613">
        <w:rPr>
          <w:rFonts w:ascii="Cambria" w:hAnsi="Cambria"/>
          <w:sz w:val="24"/>
        </w:rPr>
        <w:t>Under</w:t>
      </w:r>
      <w:proofErr w:type="gramEnd"/>
      <w:r w:rsidRPr="00C34613">
        <w:rPr>
          <w:rFonts w:ascii="Cambria" w:hAnsi="Cambria"/>
          <w:sz w:val="24"/>
        </w:rPr>
        <w:t xml:space="preserve"> the Receiver Operating Characteristic Curve (AUROC), reflecting model discrimination between readmitted and non-readmitted patients (Lu et al., 2021).</w:t>
      </w:r>
    </w:p>
    <w:p w:rsidR="00042850" w:rsidRDefault="00042850"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Pr>
          <w:rFonts w:ascii="Cambria" w:hAnsi="Cambria"/>
          <w:b/>
          <w:sz w:val="24"/>
        </w:rPr>
        <w:t>2.</w:t>
      </w:r>
      <w:r w:rsidRPr="00042850">
        <w:rPr>
          <w:rFonts w:ascii="Cambria" w:hAnsi="Cambria"/>
          <w:b/>
          <w:sz w:val="24"/>
        </w:rPr>
        <w:t xml:space="preserve"> </w:t>
      </w:r>
      <w:r w:rsidRPr="00042850">
        <w:rPr>
          <w:rFonts w:ascii="Cambria" w:hAnsi="Cambria"/>
          <w:b/>
          <w:sz w:val="24"/>
        </w:rPr>
        <w:t>Data Collection &amp; Preprocessing</w:t>
      </w: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Data Sources: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Electronic Health Records (EHRs) including discharge summaries and clinical notes (Lu et al., 2021).</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Hospital administrative databases with demographic and prior admission data (Choudhury &amp; Greene, 2018).</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Potential Bias: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Socio-demographic bias: Underrepresentation of certain populations (e.g., minorities, uninsured) may lead to biased predictions, potentially exacerbating healthcare disparities (Mohammad, 2020).</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Preprocessing Steps: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Handling missing data: Impute or encode missing values, especially in features like “weight” or “medical specialty” (Choudhury &amp; Greene, 2018).</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Data normalization: Standardize numerical features such as age and length of stay.</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 xml:space="preserve">Text </w:t>
      </w:r>
      <w:proofErr w:type="spellStart"/>
      <w:r w:rsidRPr="00C34613">
        <w:rPr>
          <w:rFonts w:ascii="Cambria" w:hAnsi="Cambria"/>
          <w:sz w:val="24"/>
        </w:rPr>
        <w:t>preprocessing</w:t>
      </w:r>
      <w:proofErr w:type="spellEnd"/>
      <w:r w:rsidRPr="00C34613">
        <w:rPr>
          <w:rFonts w:ascii="Cambria" w:hAnsi="Cambria"/>
          <w:sz w:val="24"/>
        </w:rPr>
        <w:t>: For clinical notes, apply entity linking and text normalization to extract structured features (Lu et al., 2021).</w:t>
      </w:r>
    </w:p>
    <w:p w:rsidR="00042850" w:rsidRDefault="00042850"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Pr>
          <w:rFonts w:ascii="Cambria" w:hAnsi="Cambria"/>
          <w:b/>
          <w:sz w:val="24"/>
        </w:rPr>
        <w:t>3.</w:t>
      </w:r>
      <w:r w:rsidRPr="00042850">
        <w:rPr>
          <w:rFonts w:ascii="Cambria" w:hAnsi="Cambria"/>
          <w:b/>
          <w:sz w:val="24"/>
        </w:rPr>
        <w:t xml:space="preserve"> Model Development</w:t>
      </w: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Model Choice:</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Graph Convolutional Neural Network (GCN): Justified by its ability to incorporate both structured and unstructured (textual) data, leveraging entity relationships within clinical notes (Lu et al., 2021).</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Data Splitting:</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Allocate 80% for training, 10% for validation, and 10% for testing, ensuring patients’ encounters are independent to avoid data leakage (Lu et al., 2021).</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Hyperparameters to Tune:</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Number of graph convolution layers: Affects model’s capacity to capture inter-entity relationships.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Learning rate: Impacts convergence and risk of overfitting.</w:t>
      </w:r>
    </w:p>
    <w:p w:rsidR="00042850" w:rsidRDefault="00042850"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4. Evaluation &amp; Deployment</w:t>
      </w: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Evaluation Metrics: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AUROC: Measures overall discrimination capability (Lu et al., 2021).</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Recall at Precision 80% (RP80): Clinically relevant, helps minimize alarm fatigue by maintaining high precision (Lu et al., 2021).</w:t>
      </w:r>
    </w:p>
    <w:p w:rsidR="00C34613" w:rsidRDefault="00C34613" w:rsidP="00C34613">
      <w:pPr>
        <w:spacing w:after="0" w:line="240" w:lineRule="auto"/>
        <w:jc w:val="both"/>
        <w:rPr>
          <w:rFonts w:ascii="Cambria" w:hAnsi="Cambria"/>
          <w:sz w:val="24"/>
        </w:rPr>
      </w:pPr>
    </w:p>
    <w:p w:rsidR="00042850" w:rsidRPr="00C34613" w:rsidRDefault="00042850" w:rsidP="00C34613">
      <w:pPr>
        <w:spacing w:after="0" w:line="240" w:lineRule="auto"/>
        <w:jc w:val="both"/>
        <w:rPr>
          <w:rFonts w:ascii="Cambria" w:hAnsi="Cambria"/>
          <w:sz w:val="24"/>
        </w:rPr>
      </w:pPr>
      <w:bookmarkStart w:id="0" w:name="_GoBack"/>
      <w:bookmarkEnd w:id="0"/>
    </w:p>
    <w:p w:rsidR="00C34613" w:rsidRPr="00042850" w:rsidRDefault="00C34613" w:rsidP="00C34613">
      <w:pPr>
        <w:spacing w:after="0" w:line="240" w:lineRule="auto"/>
        <w:jc w:val="both"/>
        <w:rPr>
          <w:rFonts w:ascii="Cambria" w:hAnsi="Cambria"/>
          <w:b/>
          <w:sz w:val="24"/>
        </w:rPr>
      </w:pPr>
      <w:r w:rsidRPr="00042850">
        <w:rPr>
          <w:rFonts w:ascii="Cambria" w:hAnsi="Cambria"/>
          <w:b/>
          <w:sz w:val="24"/>
        </w:rPr>
        <w:lastRenderedPageBreak/>
        <w:t>Concept Drift:</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Definition: A shift in the underlying data distribution, possibly due to changes in clinical practice or patient population.</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Monitoring: Implement ongoing performance tracking and periodic model retraining using recent data.</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Technical Challenge:</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Scalability: Deploying resource-intensive models such as GCNs may strain hospital IT infrastructure, especially with large-scale EHRs (Lu et al., 2021).</w:t>
      </w:r>
    </w:p>
    <w:p w:rsidR="00042850" w:rsidRDefault="00042850" w:rsidP="00C34613">
      <w:pPr>
        <w:spacing w:after="0" w:line="240" w:lineRule="auto"/>
        <w:jc w:val="both"/>
        <w:rPr>
          <w:rFonts w:ascii="Cambria" w:hAnsi="Cambria"/>
          <w:sz w:val="24"/>
        </w:rPr>
      </w:pPr>
    </w:p>
    <w:p w:rsidR="00C34613" w:rsidRPr="00042850" w:rsidRDefault="00C34613" w:rsidP="00C34613">
      <w:pPr>
        <w:spacing w:after="0" w:line="240" w:lineRule="auto"/>
        <w:jc w:val="both"/>
        <w:rPr>
          <w:rFonts w:ascii="Cambria" w:hAnsi="Cambria"/>
          <w:b/>
          <w:sz w:val="28"/>
        </w:rPr>
      </w:pPr>
      <w:r w:rsidRPr="00042850">
        <w:rPr>
          <w:rFonts w:ascii="Cambria" w:hAnsi="Cambria"/>
          <w:b/>
          <w:sz w:val="28"/>
        </w:rPr>
        <w:t>Part 2: Case Study Application</w:t>
      </w: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Problem Scope</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Definition: Develop an AI system to predict the risk that a patient will be readmitted to the hospital within 30 days post-discharge.</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Objectives: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Improve patient outcomes by facilitating timely interventions for at-risk individuals.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Support hospital compliance with readmission reduction regulations.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Optimize resource allocation for post-discharge care.</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Stakeholders: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Patients and families.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Healthcare providers and hospital administrators.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Data Strategy</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Data Sources: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EHRs: Including demographics, diagnoses, procedures, medication history, lab results, and discharge summaries (Choudhury &amp; Greene, 2018; Lu et al., 2021).</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Supplementary sources: Community health data, prior admissions, and follow-up care records.</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Ethical Concerns: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Patient privacy: EHR data is highly sensitive and subject to regulations such as HIPAA (Wood, 2023).</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Algorithmic bias: Models may propagate or amplify existing disparities if underlying data is biased (Mohammad, 2020).</w:t>
      </w:r>
    </w:p>
    <w:p w:rsidR="00C34613" w:rsidRPr="00C34613" w:rsidRDefault="00C34613"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Preprocessing Pipeline:</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 xml:space="preserve">Feature selection: Use algorithms such as </w:t>
      </w:r>
      <w:proofErr w:type="spellStart"/>
      <w:r w:rsidRPr="00C34613">
        <w:rPr>
          <w:rFonts w:ascii="Cambria" w:hAnsi="Cambria"/>
          <w:sz w:val="24"/>
        </w:rPr>
        <w:t>Boruta</w:t>
      </w:r>
      <w:proofErr w:type="spellEnd"/>
      <w:r w:rsidRPr="00C34613">
        <w:rPr>
          <w:rFonts w:ascii="Cambria" w:hAnsi="Cambria"/>
          <w:sz w:val="24"/>
        </w:rPr>
        <w:t xml:space="preserve"> for structured data and UMLS-based entity linking for text (Choudhury &amp; Greene, 2018; Lu et al., 2021).</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Missing data handling: Impute missing values or encode as special categories.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Data balancing: Apply oversampling or class weighting to address class imbalance.</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Normalization: Scale continuous variables; tokenize and embed text features.</w:t>
      </w:r>
    </w:p>
    <w:p w:rsidR="00C34613" w:rsidRPr="00C34613" w:rsidRDefault="00C34613" w:rsidP="00C34613">
      <w:pPr>
        <w:spacing w:after="0" w:line="240" w:lineRule="auto"/>
        <w:jc w:val="both"/>
        <w:rPr>
          <w:rFonts w:ascii="Cambria" w:hAnsi="Cambria"/>
          <w:sz w:val="24"/>
        </w:rPr>
      </w:pPr>
      <w:r w:rsidRPr="00C34613">
        <w:rPr>
          <w:rFonts w:ascii="Cambria" w:hAnsi="Cambria"/>
          <w:sz w:val="24"/>
        </w:rPr>
        <w:t>Feature engineering: Extract clinical concepts and relationships from discharge summaries using knowledge graphs (Lu et al., 2021).</w:t>
      </w:r>
    </w:p>
    <w:p w:rsidR="00C34613" w:rsidRDefault="00042850" w:rsidP="00C34613">
      <w:pPr>
        <w:spacing w:after="0" w:line="240" w:lineRule="auto"/>
        <w:jc w:val="both"/>
        <w:rPr>
          <w:rFonts w:ascii="Cambria" w:hAnsi="Cambria"/>
          <w:sz w:val="24"/>
        </w:rPr>
      </w:pPr>
      <w:r>
        <w:rPr>
          <w:rFonts w:ascii="Cambria" w:hAnsi="Cambria"/>
          <w:sz w:val="24"/>
        </w:rPr>
        <w:t>Model Development</w:t>
      </w:r>
    </w:p>
    <w:p w:rsidR="00042850" w:rsidRDefault="00042850" w:rsidP="00C34613">
      <w:pPr>
        <w:spacing w:after="0" w:line="240" w:lineRule="auto"/>
        <w:jc w:val="both"/>
        <w:rPr>
          <w:rFonts w:ascii="Cambria" w:hAnsi="Cambria"/>
          <w:sz w:val="24"/>
        </w:rPr>
      </w:pPr>
    </w:p>
    <w:p w:rsidR="00042850" w:rsidRDefault="00042850" w:rsidP="00C34613">
      <w:pPr>
        <w:spacing w:after="0" w:line="240" w:lineRule="auto"/>
        <w:jc w:val="both"/>
        <w:rPr>
          <w:rFonts w:ascii="Cambria" w:hAnsi="Cambria"/>
          <w:sz w:val="24"/>
        </w:rPr>
      </w:pPr>
    </w:p>
    <w:p w:rsidR="00042850" w:rsidRDefault="00042850" w:rsidP="00C34613">
      <w:pPr>
        <w:spacing w:after="0" w:line="240" w:lineRule="auto"/>
        <w:jc w:val="both"/>
        <w:rPr>
          <w:rFonts w:ascii="Cambria" w:hAnsi="Cambria"/>
          <w:sz w:val="24"/>
        </w:rPr>
      </w:pPr>
    </w:p>
    <w:p w:rsidR="00042850" w:rsidRPr="00C34613" w:rsidRDefault="00042850" w:rsidP="00C34613">
      <w:pPr>
        <w:spacing w:after="0" w:line="240" w:lineRule="auto"/>
        <w:jc w:val="both"/>
        <w:rPr>
          <w:rFonts w:ascii="Cambria" w:hAnsi="Cambria"/>
          <w:sz w:val="24"/>
        </w:rPr>
      </w:pPr>
    </w:p>
    <w:p w:rsidR="00C34613" w:rsidRPr="00042850" w:rsidRDefault="00042850" w:rsidP="00C34613">
      <w:pPr>
        <w:spacing w:after="0" w:line="240" w:lineRule="auto"/>
        <w:jc w:val="both"/>
        <w:rPr>
          <w:rFonts w:ascii="Cambria" w:hAnsi="Cambria"/>
          <w:b/>
          <w:sz w:val="24"/>
        </w:rPr>
      </w:pPr>
      <w:r w:rsidRPr="00042850">
        <w:rPr>
          <w:rFonts w:ascii="Cambria" w:hAnsi="Cambria"/>
          <w:b/>
          <w:sz w:val="24"/>
        </w:rPr>
        <w:t>Model Selection:</w:t>
      </w:r>
    </w:p>
    <w:p w:rsidR="00C34613" w:rsidRPr="00C34613" w:rsidRDefault="00C34613" w:rsidP="00C34613">
      <w:pPr>
        <w:spacing w:after="0" w:line="240" w:lineRule="auto"/>
        <w:jc w:val="both"/>
        <w:rPr>
          <w:rFonts w:ascii="Cambria" w:hAnsi="Cambria"/>
          <w:sz w:val="24"/>
        </w:rPr>
      </w:pPr>
      <w:proofErr w:type="spellStart"/>
      <w:r w:rsidRPr="00C34613">
        <w:rPr>
          <w:rFonts w:ascii="Cambria" w:hAnsi="Cambria"/>
          <w:sz w:val="24"/>
        </w:rPr>
        <w:t>MedText</w:t>
      </w:r>
      <w:proofErr w:type="spellEnd"/>
      <w:r w:rsidRPr="00C34613">
        <w:rPr>
          <w:rFonts w:ascii="Cambria" w:hAnsi="Cambria"/>
          <w:sz w:val="24"/>
        </w:rPr>
        <w:t xml:space="preserve"> Graph-Based GCN: Incorporates </w:t>
      </w:r>
      <w:proofErr w:type="spellStart"/>
      <w:r w:rsidRPr="00C34613">
        <w:rPr>
          <w:rFonts w:ascii="Cambria" w:hAnsi="Cambria"/>
          <w:sz w:val="24"/>
        </w:rPr>
        <w:t>multiview</w:t>
      </w:r>
      <w:proofErr w:type="spellEnd"/>
      <w:r w:rsidRPr="00C34613">
        <w:rPr>
          <w:rFonts w:ascii="Cambria" w:hAnsi="Cambria"/>
          <w:sz w:val="24"/>
        </w:rPr>
        <w:t xml:space="preserve"> graphs from clinical notes, leveraging </w:t>
      </w:r>
      <w:proofErr w:type="gramStart"/>
      <w:r w:rsidRPr="00C34613">
        <w:rPr>
          <w:rFonts w:ascii="Cambria" w:hAnsi="Cambria"/>
          <w:sz w:val="24"/>
        </w:rPr>
        <w:t>both</w:t>
      </w:r>
      <w:proofErr w:type="gramEnd"/>
      <w:r w:rsidRPr="00C34613">
        <w:rPr>
          <w:rFonts w:ascii="Cambria" w:hAnsi="Cambria"/>
          <w:sz w:val="24"/>
        </w:rPr>
        <w:t xml:space="preserve"> intra-document and domain knowledge via UMLS, shown to outperform traditional models (Lu et al., 2021).</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sz w:val="24"/>
        </w:rPr>
      </w:pPr>
      <w:r w:rsidRPr="00C34613">
        <w:rPr>
          <w:rFonts w:ascii="Cambria" w:hAnsi="Cambria"/>
          <w:sz w:val="24"/>
        </w:rPr>
        <w:t>Confusion</w:t>
      </w:r>
      <w:r w:rsidR="00042850">
        <w:rPr>
          <w:rFonts w:ascii="Cambria" w:hAnsi="Cambria"/>
          <w:sz w:val="24"/>
        </w:rPr>
        <w:t xml:space="preserve"> Matrix (Hypothetical Example):</w:t>
      </w:r>
    </w:p>
    <w:p w:rsidR="00C34613" w:rsidRPr="00C34613" w:rsidRDefault="00C34613" w:rsidP="00C34613">
      <w:pPr>
        <w:spacing w:after="0"/>
        <w:rPr>
          <w:rFonts w:ascii="Cambria" w:hAnsi="Cambria"/>
          <w:sz w:val="24"/>
        </w:rPr>
      </w:pPr>
      <w:r w:rsidRPr="00C34613">
        <w:rPr>
          <w:rFonts w:ascii="Cambria" w:hAnsi="Cambria"/>
          <w:sz w:val="24"/>
        </w:rPr>
        <w:t>Predicted Readmit</w:t>
      </w:r>
      <w:r w:rsidRPr="00C34613">
        <w:rPr>
          <w:rFonts w:ascii="Cambria" w:hAnsi="Cambria"/>
          <w:sz w:val="24"/>
        </w:rPr>
        <w:tab/>
        <w:t>Predicted Not Readmit</w:t>
      </w:r>
    </w:p>
    <w:p w:rsidR="00C34613" w:rsidRPr="00C34613" w:rsidRDefault="00C34613" w:rsidP="00C34613">
      <w:pPr>
        <w:spacing w:after="0"/>
        <w:rPr>
          <w:rFonts w:ascii="Cambria" w:hAnsi="Cambria"/>
          <w:sz w:val="24"/>
        </w:rPr>
      </w:pPr>
      <w:r w:rsidRPr="00C34613">
        <w:rPr>
          <w:rFonts w:ascii="Cambria" w:hAnsi="Cambria"/>
          <w:sz w:val="24"/>
        </w:rPr>
        <w:t>Actual Readmit</w:t>
      </w:r>
      <w:r w:rsidRPr="00C34613">
        <w:rPr>
          <w:rFonts w:ascii="Cambria" w:hAnsi="Cambria"/>
          <w:sz w:val="24"/>
        </w:rPr>
        <w:tab/>
        <w:t>150</w:t>
      </w:r>
      <w:r w:rsidRPr="00C34613">
        <w:rPr>
          <w:rFonts w:ascii="Cambria" w:hAnsi="Cambria"/>
          <w:sz w:val="24"/>
        </w:rPr>
        <w:tab/>
        <w:t>50</w:t>
      </w:r>
    </w:p>
    <w:p w:rsidR="00C34613" w:rsidRPr="00C34613" w:rsidRDefault="00C34613" w:rsidP="00C34613">
      <w:pPr>
        <w:spacing w:after="0"/>
        <w:rPr>
          <w:rFonts w:ascii="Cambria" w:hAnsi="Cambria"/>
          <w:sz w:val="24"/>
        </w:rPr>
      </w:pPr>
      <w:r w:rsidRPr="00C34613">
        <w:rPr>
          <w:rFonts w:ascii="Cambria" w:hAnsi="Cambria"/>
          <w:sz w:val="24"/>
        </w:rPr>
        <w:t>Actual Not</w:t>
      </w:r>
      <w:r w:rsidRPr="00C34613">
        <w:rPr>
          <w:rFonts w:ascii="Cambria" w:hAnsi="Cambria"/>
          <w:sz w:val="24"/>
        </w:rPr>
        <w:tab/>
      </w:r>
      <w:r>
        <w:rPr>
          <w:rFonts w:ascii="Cambria" w:hAnsi="Cambria"/>
          <w:sz w:val="24"/>
        </w:rPr>
        <w:tab/>
      </w:r>
      <w:r w:rsidRPr="00C34613">
        <w:rPr>
          <w:rFonts w:ascii="Cambria" w:hAnsi="Cambria"/>
          <w:sz w:val="24"/>
        </w:rPr>
        <w:t>100</w:t>
      </w:r>
      <w:r w:rsidRPr="00C34613">
        <w:rPr>
          <w:rFonts w:ascii="Cambria" w:hAnsi="Cambria"/>
          <w:sz w:val="24"/>
        </w:rPr>
        <w:tab/>
        <w:t>700</w:t>
      </w:r>
    </w:p>
    <w:p w:rsidR="00C34613" w:rsidRPr="00C34613" w:rsidRDefault="00C34613" w:rsidP="00C34613">
      <w:pPr>
        <w:spacing w:after="0"/>
        <w:rPr>
          <w:rFonts w:ascii="Cambria" w:hAnsi="Cambria"/>
          <w:sz w:val="24"/>
        </w:rPr>
      </w:pPr>
    </w:p>
    <w:p w:rsidR="00C34613" w:rsidRPr="00C34613" w:rsidRDefault="00C34613" w:rsidP="00C34613">
      <w:pPr>
        <w:spacing w:after="0"/>
        <w:rPr>
          <w:rFonts w:ascii="Cambria" w:hAnsi="Cambria"/>
          <w:sz w:val="24"/>
        </w:rPr>
      </w:pPr>
      <w:r w:rsidRPr="00C34613">
        <w:rPr>
          <w:rFonts w:ascii="Cambria" w:hAnsi="Cambria"/>
          <w:sz w:val="24"/>
        </w:rPr>
        <w:t>Precision: 150</w:t>
      </w:r>
      <w:proofErr w:type="gramStart"/>
      <w:r w:rsidRPr="00C34613">
        <w:rPr>
          <w:rFonts w:ascii="Cambria" w:hAnsi="Cambria"/>
          <w:sz w:val="24"/>
        </w:rPr>
        <w:t>/(</w:t>
      </w:r>
      <w:proofErr w:type="gramEnd"/>
      <w:r w:rsidRPr="00C34613">
        <w:rPr>
          <w:rFonts w:ascii="Cambria" w:hAnsi="Cambria"/>
          <w:sz w:val="24"/>
        </w:rPr>
        <w:t>150+100) = 0.60</w:t>
      </w:r>
    </w:p>
    <w:p w:rsidR="00C34613" w:rsidRPr="00C34613" w:rsidRDefault="00C34613" w:rsidP="00C34613">
      <w:pPr>
        <w:spacing w:after="0"/>
        <w:rPr>
          <w:rFonts w:ascii="Cambria" w:hAnsi="Cambria"/>
          <w:sz w:val="24"/>
        </w:rPr>
      </w:pPr>
      <w:r w:rsidRPr="00C34613">
        <w:rPr>
          <w:rFonts w:ascii="Cambria" w:hAnsi="Cambria"/>
          <w:sz w:val="24"/>
        </w:rPr>
        <w:t>Recall: 150</w:t>
      </w:r>
      <w:proofErr w:type="gramStart"/>
      <w:r w:rsidRPr="00C34613">
        <w:rPr>
          <w:rFonts w:ascii="Cambria" w:hAnsi="Cambria"/>
          <w:sz w:val="24"/>
        </w:rPr>
        <w:t>/(</w:t>
      </w:r>
      <w:proofErr w:type="gramEnd"/>
      <w:r w:rsidRPr="00C34613">
        <w:rPr>
          <w:rFonts w:ascii="Cambria" w:hAnsi="Cambria"/>
          <w:sz w:val="24"/>
        </w:rPr>
        <w:t>150+50) = 0.75</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Deployment</w:t>
      </w:r>
    </w:p>
    <w:p w:rsidR="00C34613" w:rsidRPr="00C34613" w:rsidRDefault="00C34613" w:rsidP="00C34613">
      <w:pPr>
        <w:spacing w:after="0"/>
        <w:jc w:val="both"/>
        <w:rPr>
          <w:rFonts w:ascii="Cambria" w:hAnsi="Cambria"/>
          <w:b/>
          <w:sz w:val="24"/>
        </w:rPr>
      </w:pPr>
      <w:r w:rsidRPr="00C34613">
        <w:rPr>
          <w:rFonts w:ascii="Cambria" w:hAnsi="Cambria"/>
          <w:b/>
          <w:sz w:val="24"/>
        </w:rPr>
        <w:t>Integration Steps:</w:t>
      </w:r>
    </w:p>
    <w:p w:rsidR="00C34613" w:rsidRPr="00C34613" w:rsidRDefault="00C34613" w:rsidP="00C34613">
      <w:pPr>
        <w:spacing w:after="0"/>
        <w:jc w:val="both"/>
        <w:rPr>
          <w:rFonts w:ascii="Cambria" w:hAnsi="Cambria"/>
          <w:sz w:val="24"/>
        </w:rPr>
      </w:pPr>
      <w:r w:rsidRPr="00C34613">
        <w:rPr>
          <w:rFonts w:ascii="Cambria" w:hAnsi="Cambria"/>
          <w:b/>
          <w:sz w:val="24"/>
        </w:rPr>
        <w:t>API Development:</w:t>
      </w:r>
      <w:r w:rsidRPr="00C34613">
        <w:rPr>
          <w:rFonts w:ascii="Cambria" w:hAnsi="Cambria"/>
          <w:sz w:val="24"/>
        </w:rPr>
        <w:t xml:space="preserve"> Encapsulate the trained model as a secure API for integration with hospital EHR systems.</w:t>
      </w:r>
    </w:p>
    <w:p w:rsidR="00C34613" w:rsidRPr="00C34613" w:rsidRDefault="00C34613" w:rsidP="00C34613">
      <w:pPr>
        <w:spacing w:after="0"/>
        <w:jc w:val="both"/>
        <w:rPr>
          <w:rFonts w:ascii="Cambria" w:hAnsi="Cambria"/>
          <w:sz w:val="24"/>
        </w:rPr>
      </w:pPr>
      <w:r w:rsidRPr="00C34613">
        <w:rPr>
          <w:rFonts w:ascii="Cambria" w:hAnsi="Cambria"/>
          <w:b/>
          <w:sz w:val="24"/>
        </w:rPr>
        <w:t>User Interface:</w:t>
      </w:r>
      <w:r w:rsidRPr="00C34613">
        <w:rPr>
          <w:rFonts w:ascii="Cambria" w:hAnsi="Cambria"/>
          <w:sz w:val="24"/>
        </w:rPr>
        <w:t xml:space="preserve"> Design clinician-facing dashboards that display risk scores with explanations.</w:t>
      </w:r>
    </w:p>
    <w:p w:rsidR="00C34613" w:rsidRPr="00C34613" w:rsidRDefault="00C34613" w:rsidP="00C34613">
      <w:pPr>
        <w:spacing w:after="0"/>
        <w:jc w:val="both"/>
        <w:rPr>
          <w:rFonts w:ascii="Cambria" w:hAnsi="Cambria"/>
          <w:sz w:val="24"/>
        </w:rPr>
      </w:pPr>
      <w:r w:rsidRPr="00C34613">
        <w:rPr>
          <w:rFonts w:ascii="Cambria" w:hAnsi="Cambria"/>
          <w:b/>
          <w:sz w:val="24"/>
        </w:rPr>
        <w:t>Monitoring:</w:t>
      </w:r>
      <w:r w:rsidRPr="00C34613">
        <w:rPr>
          <w:rFonts w:ascii="Cambria" w:hAnsi="Cambria"/>
          <w:sz w:val="24"/>
        </w:rPr>
        <w:t xml:space="preserve"> Set up logging and real-time monitoring for prediction outputs and system health.</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Regulatory Compliance:</w:t>
      </w:r>
    </w:p>
    <w:p w:rsidR="00C34613" w:rsidRPr="00C34613" w:rsidRDefault="00C34613" w:rsidP="00C34613">
      <w:pPr>
        <w:spacing w:after="0"/>
        <w:jc w:val="both"/>
        <w:rPr>
          <w:rFonts w:ascii="Cambria" w:hAnsi="Cambria"/>
          <w:sz w:val="24"/>
        </w:rPr>
      </w:pPr>
      <w:r w:rsidRPr="00C34613">
        <w:rPr>
          <w:rFonts w:ascii="Cambria" w:hAnsi="Cambria"/>
          <w:sz w:val="24"/>
        </w:rPr>
        <w:t>Ensure de-identification and secure storage of patient data.</w:t>
      </w:r>
    </w:p>
    <w:p w:rsidR="00C34613" w:rsidRPr="00C34613" w:rsidRDefault="00C34613" w:rsidP="00C34613">
      <w:pPr>
        <w:spacing w:after="0"/>
        <w:jc w:val="both"/>
        <w:rPr>
          <w:rFonts w:ascii="Cambria" w:hAnsi="Cambria"/>
          <w:sz w:val="24"/>
        </w:rPr>
      </w:pPr>
      <w:r w:rsidRPr="00C34613">
        <w:rPr>
          <w:rFonts w:ascii="Cambria" w:hAnsi="Cambria"/>
          <w:sz w:val="24"/>
        </w:rPr>
        <w:t>Implement role-based access and audit trails.</w:t>
      </w:r>
    </w:p>
    <w:p w:rsidR="00C34613" w:rsidRPr="00C34613" w:rsidRDefault="00C34613" w:rsidP="00C34613">
      <w:pPr>
        <w:spacing w:after="0"/>
        <w:jc w:val="both"/>
        <w:rPr>
          <w:rFonts w:ascii="Cambria" w:hAnsi="Cambria"/>
          <w:sz w:val="24"/>
        </w:rPr>
      </w:pPr>
      <w:r w:rsidRPr="00C34613">
        <w:rPr>
          <w:rFonts w:ascii="Cambria" w:hAnsi="Cambria"/>
          <w:sz w:val="24"/>
        </w:rPr>
        <w:t>Conduct regular privacy impact assessments, adhering strictly to HIPAA guidelines (Wood, 2023).</w:t>
      </w:r>
    </w:p>
    <w:p w:rsidR="00C34613" w:rsidRPr="00C34613" w:rsidRDefault="00C34613" w:rsidP="00C34613">
      <w:pPr>
        <w:spacing w:after="0"/>
        <w:jc w:val="both"/>
        <w:rPr>
          <w:rFonts w:ascii="Cambria" w:hAnsi="Cambria"/>
          <w:sz w:val="24"/>
        </w:rPr>
      </w:pPr>
      <w:r w:rsidRPr="00C34613">
        <w:rPr>
          <w:rFonts w:ascii="Cambria" w:hAnsi="Cambria"/>
          <w:sz w:val="24"/>
        </w:rPr>
        <w:t>Optimization</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Overfitting Mitigation:</w:t>
      </w:r>
    </w:p>
    <w:p w:rsidR="00C34613" w:rsidRPr="00C34613" w:rsidRDefault="00C34613" w:rsidP="00C34613">
      <w:pPr>
        <w:spacing w:after="0"/>
        <w:jc w:val="both"/>
        <w:rPr>
          <w:rFonts w:ascii="Cambria" w:hAnsi="Cambria"/>
          <w:sz w:val="24"/>
        </w:rPr>
      </w:pPr>
      <w:r w:rsidRPr="00C34613">
        <w:rPr>
          <w:rFonts w:ascii="Cambria" w:hAnsi="Cambria"/>
          <w:sz w:val="24"/>
        </w:rPr>
        <w:t>Regularization: Use dropout layers in neural models and early stopping during training (Lu et al., 2021).</w:t>
      </w:r>
    </w:p>
    <w:p w:rsidR="00C34613" w:rsidRPr="00C34613" w:rsidRDefault="00C34613" w:rsidP="00C34613">
      <w:pPr>
        <w:spacing w:after="0"/>
        <w:jc w:val="both"/>
        <w:rPr>
          <w:rFonts w:ascii="Cambria" w:hAnsi="Cambria"/>
          <w:sz w:val="24"/>
        </w:rPr>
      </w:pPr>
      <w:r w:rsidRPr="00C34613">
        <w:rPr>
          <w:rFonts w:ascii="Cambria" w:hAnsi="Cambria"/>
          <w:sz w:val="24"/>
        </w:rPr>
        <w:t>Part 3: Critical Thinking</w:t>
      </w:r>
    </w:p>
    <w:p w:rsidR="00C34613" w:rsidRPr="00C34613" w:rsidRDefault="00C34613" w:rsidP="00C34613">
      <w:pPr>
        <w:spacing w:after="0"/>
        <w:jc w:val="both"/>
        <w:rPr>
          <w:rFonts w:ascii="Cambria" w:hAnsi="Cambria"/>
          <w:sz w:val="24"/>
        </w:rPr>
      </w:pPr>
      <w:r w:rsidRPr="00C34613">
        <w:rPr>
          <w:rFonts w:ascii="Cambria" w:hAnsi="Cambria"/>
          <w:sz w:val="24"/>
        </w:rPr>
        <w:t>Ethics &amp; Bias</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sz w:val="24"/>
        </w:rPr>
      </w:pPr>
      <w:r w:rsidRPr="00C34613">
        <w:rPr>
          <w:rFonts w:ascii="Cambria" w:hAnsi="Cambria"/>
          <w:b/>
          <w:sz w:val="24"/>
        </w:rPr>
        <w:t>Impact of Biased Training D</w:t>
      </w:r>
      <w:r w:rsidRPr="00C34613">
        <w:rPr>
          <w:rFonts w:ascii="Cambria" w:hAnsi="Cambria"/>
          <w:b/>
          <w:sz w:val="24"/>
        </w:rPr>
        <w:t>ata</w:t>
      </w:r>
      <w:r>
        <w:rPr>
          <w:rFonts w:ascii="Cambria" w:hAnsi="Cambria"/>
          <w:sz w:val="24"/>
        </w:rPr>
        <w:t>:</w:t>
      </w:r>
    </w:p>
    <w:p w:rsidR="00C34613" w:rsidRPr="00C34613" w:rsidRDefault="00C34613" w:rsidP="00C34613">
      <w:pPr>
        <w:spacing w:after="0"/>
        <w:jc w:val="both"/>
        <w:rPr>
          <w:rFonts w:ascii="Cambria" w:hAnsi="Cambria"/>
          <w:sz w:val="24"/>
        </w:rPr>
      </w:pPr>
      <w:r w:rsidRPr="00C34613">
        <w:rPr>
          <w:rFonts w:ascii="Cambria" w:hAnsi="Cambria"/>
          <w:sz w:val="24"/>
        </w:rPr>
        <w:t xml:space="preserve">Biased data can lead to </w:t>
      </w:r>
      <w:proofErr w:type="spellStart"/>
      <w:r w:rsidRPr="00C34613">
        <w:rPr>
          <w:rFonts w:ascii="Cambria" w:hAnsi="Cambria"/>
          <w:sz w:val="24"/>
        </w:rPr>
        <w:t>underprediction</w:t>
      </w:r>
      <w:proofErr w:type="spellEnd"/>
      <w:r w:rsidRPr="00C34613">
        <w:rPr>
          <w:rFonts w:ascii="Cambria" w:hAnsi="Cambria"/>
          <w:sz w:val="24"/>
        </w:rPr>
        <w:t xml:space="preserve"> or </w:t>
      </w:r>
      <w:proofErr w:type="spellStart"/>
      <w:r w:rsidRPr="00C34613">
        <w:rPr>
          <w:rFonts w:ascii="Cambria" w:hAnsi="Cambria"/>
          <w:sz w:val="24"/>
        </w:rPr>
        <w:t>overprediction</w:t>
      </w:r>
      <w:proofErr w:type="spellEnd"/>
      <w:r w:rsidRPr="00C34613">
        <w:rPr>
          <w:rFonts w:ascii="Cambria" w:hAnsi="Cambria"/>
          <w:sz w:val="24"/>
        </w:rPr>
        <w:t xml:space="preserve"> of risk in minority populations, potentially resulting in unequal care or missed interventions (Mohammad, 2020).</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Bias Mitigation Strategy:</w:t>
      </w:r>
    </w:p>
    <w:p w:rsidR="00C34613" w:rsidRPr="00C34613" w:rsidRDefault="00C34613" w:rsidP="00C34613">
      <w:pPr>
        <w:spacing w:after="0"/>
        <w:jc w:val="both"/>
        <w:rPr>
          <w:rFonts w:ascii="Cambria" w:hAnsi="Cambria"/>
          <w:sz w:val="24"/>
        </w:rPr>
      </w:pPr>
      <w:r w:rsidRPr="00C34613">
        <w:rPr>
          <w:rFonts w:ascii="Cambria" w:hAnsi="Cambria"/>
          <w:b/>
          <w:sz w:val="24"/>
        </w:rPr>
        <w:t>Fairness-aware learning:</w:t>
      </w:r>
      <w:r w:rsidRPr="00C34613">
        <w:rPr>
          <w:rFonts w:ascii="Cambria" w:hAnsi="Cambria"/>
          <w:sz w:val="24"/>
        </w:rPr>
        <w:t xml:space="preserve"> Incorporate demographic parity constraints or reweight samples to ensure equitable model performance across subgroups (Mohammad, 2020).</w:t>
      </w:r>
    </w:p>
    <w:p w:rsidR="00C34613" w:rsidRPr="00C34613" w:rsidRDefault="00C34613" w:rsidP="00C34613">
      <w:pPr>
        <w:spacing w:after="0"/>
        <w:jc w:val="both"/>
        <w:rPr>
          <w:rFonts w:ascii="Cambria" w:hAnsi="Cambria"/>
          <w:sz w:val="24"/>
        </w:rPr>
      </w:pPr>
      <w:r w:rsidRPr="00C34613">
        <w:rPr>
          <w:rFonts w:ascii="Cambria" w:hAnsi="Cambria"/>
          <w:sz w:val="24"/>
        </w:rPr>
        <w:t>Trade-offs</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Interpretability vs. Accuracy:</w:t>
      </w:r>
    </w:p>
    <w:p w:rsidR="00C34613" w:rsidRPr="00C34613" w:rsidRDefault="00C34613" w:rsidP="00C34613">
      <w:pPr>
        <w:spacing w:after="0"/>
        <w:jc w:val="both"/>
        <w:rPr>
          <w:rFonts w:ascii="Cambria" w:hAnsi="Cambria"/>
          <w:sz w:val="24"/>
        </w:rPr>
      </w:pPr>
      <w:r w:rsidRPr="00C34613">
        <w:rPr>
          <w:rFonts w:ascii="Cambria" w:hAnsi="Cambria"/>
          <w:sz w:val="24"/>
        </w:rPr>
        <w:lastRenderedPageBreak/>
        <w:t>Complex models like GCNs or deep neural networks often achieve higher predictive performance but are less interpretable, which can hinder clinician trust and regulatory acceptance (Lu et al., 2021).</w:t>
      </w:r>
    </w:p>
    <w:p w:rsidR="00C34613" w:rsidRPr="00C34613" w:rsidRDefault="00C34613" w:rsidP="00C34613">
      <w:pPr>
        <w:spacing w:after="0"/>
        <w:jc w:val="both"/>
        <w:rPr>
          <w:rFonts w:ascii="Cambria" w:hAnsi="Cambria"/>
          <w:sz w:val="24"/>
        </w:rPr>
      </w:pPr>
      <w:r w:rsidRPr="00C34613">
        <w:rPr>
          <w:rFonts w:ascii="Cambria" w:hAnsi="Cambria"/>
          <w:sz w:val="24"/>
        </w:rPr>
        <w:t>In healthcare, the ability to explain predictions is crucial for clinical adoption and patient safety.</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Impact of L</w:t>
      </w:r>
      <w:r w:rsidRPr="00C34613">
        <w:rPr>
          <w:rFonts w:ascii="Cambria" w:hAnsi="Cambria"/>
          <w:b/>
          <w:sz w:val="24"/>
        </w:rPr>
        <w:t>imited Computational Resources:</w:t>
      </w:r>
    </w:p>
    <w:p w:rsidR="00C34613" w:rsidRDefault="00C34613" w:rsidP="00C34613">
      <w:pPr>
        <w:spacing w:after="0"/>
        <w:jc w:val="both"/>
        <w:rPr>
          <w:rFonts w:ascii="Cambria" w:hAnsi="Cambria"/>
          <w:sz w:val="24"/>
        </w:rPr>
      </w:pPr>
      <w:r w:rsidRPr="00C34613">
        <w:rPr>
          <w:rFonts w:ascii="Cambria" w:hAnsi="Cambria"/>
          <w:sz w:val="24"/>
        </w:rPr>
        <w:t>Hospitals with limited IT infrastructure may be unable to deploy resource-intensive models. This necessitates consideration of lighter-weight models (e.g., logistic regression or decision trees), potentially sacrificing some accuracy for feasibility (Choudhury &amp; Greene, 2018).</w:t>
      </w:r>
    </w:p>
    <w:p w:rsid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Part 4: Reflection &amp; Workflow Diagram</w:t>
      </w:r>
    </w:p>
    <w:p w:rsidR="00C34613" w:rsidRPr="00C34613" w:rsidRDefault="00C34613" w:rsidP="00C34613">
      <w:pPr>
        <w:spacing w:after="0"/>
        <w:jc w:val="both"/>
        <w:rPr>
          <w:rFonts w:ascii="Cambria" w:hAnsi="Cambria"/>
          <w:b/>
          <w:sz w:val="24"/>
        </w:rPr>
      </w:pPr>
      <w:r w:rsidRPr="00C34613">
        <w:rPr>
          <w:rFonts w:ascii="Cambria" w:hAnsi="Cambria"/>
          <w:b/>
          <w:sz w:val="24"/>
        </w:rPr>
        <w:t>Reflection</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M</w:t>
      </w:r>
      <w:r w:rsidRPr="00C34613">
        <w:rPr>
          <w:rFonts w:ascii="Cambria" w:hAnsi="Cambria"/>
          <w:b/>
          <w:sz w:val="24"/>
        </w:rPr>
        <w:t>ost Challenging Workflow Stage:</w:t>
      </w:r>
    </w:p>
    <w:p w:rsidR="00C34613" w:rsidRPr="00C34613" w:rsidRDefault="00C34613" w:rsidP="00C34613">
      <w:pPr>
        <w:spacing w:after="0"/>
        <w:jc w:val="both"/>
        <w:rPr>
          <w:rFonts w:ascii="Cambria" w:hAnsi="Cambria"/>
          <w:sz w:val="24"/>
        </w:rPr>
      </w:pPr>
      <w:r w:rsidRPr="00C34613">
        <w:rPr>
          <w:rFonts w:ascii="Cambria" w:hAnsi="Cambria"/>
          <w:sz w:val="24"/>
        </w:rPr>
        <w:t>Data Preprocessing: Integrating heterogeneous data types (structured, unstructured text) and ensuring data quality posed significant technical and logistical challenges (Lu et al., 2021; Choudhury &amp; Greene, 2018).</w:t>
      </w:r>
    </w:p>
    <w:p w:rsidR="00C34613" w:rsidRPr="00C34613" w:rsidRDefault="00C34613" w:rsidP="00C34613">
      <w:pPr>
        <w:spacing w:after="0"/>
        <w:jc w:val="both"/>
        <w:rPr>
          <w:rFonts w:ascii="Cambria" w:hAnsi="Cambria"/>
          <w:sz w:val="24"/>
        </w:rPr>
      </w:pPr>
    </w:p>
    <w:p w:rsidR="00C34613" w:rsidRPr="00C34613" w:rsidRDefault="00C34613" w:rsidP="00C34613">
      <w:pPr>
        <w:spacing w:after="0"/>
        <w:jc w:val="both"/>
        <w:rPr>
          <w:rFonts w:ascii="Cambria" w:hAnsi="Cambria"/>
          <w:b/>
          <w:sz w:val="24"/>
        </w:rPr>
      </w:pPr>
      <w:r w:rsidRPr="00C34613">
        <w:rPr>
          <w:rFonts w:ascii="Cambria" w:hAnsi="Cambria"/>
          <w:b/>
          <w:sz w:val="24"/>
        </w:rPr>
        <w:t>Im</w:t>
      </w:r>
      <w:r w:rsidRPr="00C34613">
        <w:rPr>
          <w:rFonts w:ascii="Cambria" w:hAnsi="Cambria"/>
          <w:b/>
          <w:sz w:val="24"/>
        </w:rPr>
        <w:t>provements with More Resources:</w:t>
      </w:r>
    </w:p>
    <w:p w:rsidR="00C34613" w:rsidRPr="00C34613" w:rsidRDefault="00C34613" w:rsidP="00C34613">
      <w:pPr>
        <w:spacing w:after="0"/>
        <w:jc w:val="both"/>
        <w:rPr>
          <w:rFonts w:ascii="Cambria" w:hAnsi="Cambria"/>
          <w:sz w:val="24"/>
        </w:rPr>
      </w:pPr>
      <w:r w:rsidRPr="00C34613">
        <w:rPr>
          <w:rFonts w:ascii="Cambria" w:hAnsi="Cambria"/>
          <w:sz w:val="24"/>
        </w:rPr>
        <w:t xml:space="preserve">Access to larger, more diverse datasets and advanced computational resources would enable more robust model development, </w:t>
      </w:r>
      <w:proofErr w:type="spellStart"/>
      <w:r w:rsidRPr="00C34613">
        <w:rPr>
          <w:rFonts w:ascii="Cambria" w:hAnsi="Cambria"/>
          <w:sz w:val="24"/>
        </w:rPr>
        <w:t>hyperparameter</w:t>
      </w:r>
      <w:proofErr w:type="spellEnd"/>
      <w:r w:rsidRPr="00C34613">
        <w:rPr>
          <w:rFonts w:ascii="Cambria" w:hAnsi="Cambria"/>
          <w:sz w:val="24"/>
        </w:rPr>
        <w:t xml:space="preserve"> tuning, and rigorous fairness testing.</w:t>
      </w:r>
    </w:p>
    <w:p w:rsidR="00C34613" w:rsidRDefault="00C34613" w:rsidP="00C34613">
      <w:pPr>
        <w:spacing w:after="0"/>
        <w:jc w:val="both"/>
        <w:rPr>
          <w:rFonts w:ascii="Cambria" w:hAnsi="Cambria"/>
          <w:sz w:val="24"/>
        </w:rPr>
      </w:pPr>
    </w:p>
    <w:p w:rsidR="00C34613" w:rsidRPr="00042850" w:rsidRDefault="00C34613" w:rsidP="00C34613">
      <w:pPr>
        <w:spacing w:after="0"/>
        <w:jc w:val="both"/>
        <w:rPr>
          <w:rFonts w:ascii="Cambria" w:hAnsi="Cambria"/>
          <w:b/>
          <w:sz w:val="24"/>
        </w:rPr>
      </w:pPr>
      <w:r w:rsidRPr="00042850">
        <w:rPr>
          <w:rFonts w:ascii="Cambria" w:hAnsi="Cambria"/>
          <w:b/>
          <w:sz w:val="24"/>
        </w:rPr>
        <w:t>Workflow Diagram</w:t>
      </w:r>
    </w:p>
    <w:p w:rsidR="00C34613" w:rsidRPr="00C34613" w:rsidRDefault="00C34613" w:rsidP="00C34613">
      <w:pPr>
        <w:spacing w:after="0"/>
        <w:jc w:val="both"/>
        <w:rPr>
          <w:rFonts w:ascii="Cambria" w:hAnsi="Cambria"/>
          <w:sz w:val="24"/>
        </w:rPr>
      </w:pPr>
      <w:r w:rsidRPr="00C34613">
        <w:rPr>
          <w:rFonts w:ascii="Cambria" w:hAnsi="Cambria"/>
          <w:sz w:val="24"/>
        </w:rPr>
        <w:t xml:space="preserve">AI </w:t>
      </w:r>
      <w:r>
        <w:rPr>
          <w:rFonts w:ascii="Cambria" w:hAnsi="Cambria"/>
          <w:sz w:val="24"/>
        </w:rPr>
        <w:t>Development Workflow Flowchart:</w:t>
      </w:r>
    </w:p>
    <w:p w:rsidR="00C34613" w:rsidRPr="00C34613" w:rsidRDefault="00C34613" w:rsidP="00C34613">
      <w:pPr>
        <w:spacing w:after="0"/>
        <w:jc w:val="both"/>
        <w:rPr>
          <w:rFonts w:ascii="Cambria" w:hAnsi="Cambria"/>
          <w:sz w:val="24"/>
        </w:rPr>
      </w:pPr>
      <w:r w:rsidRPr="00C34613">
        <w:rPr>
          <w:rFonts w:ascii="Cambria" w:hAnsi="Cambria"/>
          <w:sz w:val="24"/>
        </w:rPr>
        <w:t>[Problem Definition]</w:t>
      </w:r>
    </w:p>
    <w:p w:rsidR="00C34613" w:rsidRPr="00C34613" w:rsidRDefault="00C34613" w:rsidP="00C34613">
      <w:pPr>
        <w:spacing w:after="0"/>
        <w:jc w:val="both"/>
        <w:rPr>
          <w:rFonts w:ascii="Cambria" w:hAnsi="Cambria"/>
          <w:sz w:val="24"/>
        </w:rPr>
      </w:pPr>
      <w:r w:rsidRPr="00C34613">
        <w:rPr>
          <w:rFonts w:ascii="Cambria" w:hAnsi="Cambria"/>
          <w:sz w:val="24"/>
        </w:rPr>
        <w:t xml:space="preserve">        ↓</w:t>
      </w:r>
    </w:p>
    <w:p w:rsidR="00C34613" w:rsidRPr="00C34613" w:rsidRDefault="00C34613" w:rsidP="00C34613">
      <w:pPr>
        <w:spacing w:after="0"/>
        <w:jc w:val="both"/>
        <w:rPr>
          <w:rFonts w:ascii="Cambria" w:hAnsi="Cambria"/>
          <w:sz w:val="24"/>
        </w:rPr>
      </w:pPr>
      <w:r w:rsidRPr="00C34613">
        <w:rPr>
          <w:rFonts w:ascii="Cambria" w:hAnsi="Cambria"/>
          <w:sz w:val="24"/>
        </w:rPr>
        <w:t>[Data Collection]</w:t>
      </w:r>
    </w:p>
    <w:p w:rsidR="00C34613" w:rsidRPr="00C34613" w:rsidRDefault="00C34613" w:rsidP="00C34613">
      <w:pPr>
        <w:spacing w:after="0"/>
        <w:jc w:val="both"/>
        <w:rPr>
          <w:rFonts w:ascii="Cambria" w:hAnsi="Cambria"/>
          <w:sz w:val="24"/>
        </w:rPr>
      </w:pPr>
      <w:r w:rsidRPr="00C34613">
        <w:rPr>
          <w:rFonts w:ascii="Cambria" w:hAnsi="Cambria"/>
          <w:sz w:val="24"/>
        </w:rPr>
        <w:t xml:space="preserve">        ↓</w:t>
      </w:r>
    </w:p>
    <w:p w:rsidR="00C34613" w:rsidRPr="00C34613" w:rsidRDefault="00C34613" w:rsidP="00C34613">
      <w:pPr>
        <w:spacing w:after="0"/>
        <w:jc w:val="both"/>
        <w:rPr>
          <w:rFonts w:ascii="Cambria" w:hAnsi="Cambria"/>
          <w:sz w:val="24"/>
        </w:rPr>
      </w:pPr>
      <w:r w:rsidRPr="00C34613">
        <w:rPr>
          <w:rFonts w:ascii="Cambria" w:hAnsi="Cambria"/>
          <w:sz w:val="24"/>
        </w:rPr>
        <w:t>[Data Preprocessing]</w:t>
      </w:r>
    </w:p>
    <w:p w:rsidR="00C34613" w:rsidRPr="00C34613" w:rsidRDefault="00C34613" w:rsidP="00C34613">
      <w:pPr>
        <w:spacing w:after="0"/>
        <w:jc w:val="both"/>
        <w:rPr>
          <w:rFonts w:ascii="Cambria" w:hAnsi="Cambria"/>
          <w:sz w:val="24"/>
        </w:rPr>
      </w:pPr>
      <w:r w:rsidRPr="00C34613">
        <w:rPr>
          <w:rFonts w:ascii="Cambria" w:hAnsi="Cambria"/>
          <w:sz w:val="24"/>
        </w:rPr>
        <w:t xml:space="preserve">        ↓</w:t>
      </w:r>
    </w:p>
    <w:p w:rsidR="00C34613" w:rsidRPr="00C34613" w:rsidRDefault="00C34613" w:rsidP="00C34613">
      <w:pPr>
        <w:spacing w:after="0"/>
        <w:jc w:val="both"/>
        <w:rPr>
          <w:rFonts w:ascii="Cambria" w:hAnsi="Cambria"/>
          <w:sz w:val="24"/>
        </w:rPr>
      </w:pPr>
      <w:r w:rsidRPr="00C34613">
        <w:rPr>
          <w:rFonts w:ascii="Cambria" w:hAnsi="Cambria"/>
          <w:sz w:val="24"/>
        </w:rPr>
        <w:t>[Feature Engineering]</w:t>
      </w:r>
    </w:p>
    <w:p w:rsidR="00C34613" w:rsidRPr="00C34613" w:rsidRDefault="00C34613" w:rsidP="00C34613">
      <w:pPr>
        <w:spacing w:after="0"/>
        <w:jc w:val="both"/>
        <w:rPr>
          <w:rFonts w:ascii="Cambria" w:hAnsi="Cambria"/>
          <w:sz w:val="24"/>
        </w:rPr>
      </w:pPr>
      <w:r w:rsidRPr="00C34613">
        <w:rPr>
          <w:rFonts w:ascii="Cambria" w:hAnsi="Cambria"/>
          <w:sz w:val="24"/>
        </w:rPr>
        <w:t xml:space="preserve">        ↓</w:t>
      </w:r>
    </w:p>
    <w:p w:rsidR="00C34613" w:rsidRPr="00C34613" w:rsidRDefault="00C34613" w:rsidP="00C34613">
      <w:pPr>
        <w:spacing w:after="0"/>
        <w:jc w:val="both"/>
        <w:rPr>
          <w:rFonts w:ascii="Cambria" w:hAnsi="Cambria"/>
          <w:sz w:val="24"/>
        </w:rPr>
      </w:pPr>
      <w:r w:rsidRPr="00C34613">
        <w:rPr>
          <w:rFonts w:ascii="Cambria" w:hAnsi="Cambria"/>
          <w:sz w:val="24"/>
        </w:rPr>
        <w:t>[Model Development]</w:t>
      </w:r>
    </w:p>
    <w:p w:rsidR="00C34613" w:rsidRPr="00C34613" w:rsidRDefault="00C34613" w:rsidP="00C34613">
      <w:pPr>
        <w:spacing w:after="0"/>
        <w:jc w:val="both"/>
        <w:rPr>
          <w:rFonts w:ascii="Cambria" w:hAnsi="Cambria"/>
          <w:sz w:val="24"/>
        </w:rPr>
      </w:pPr>
      <w:r w:rsidRPr="00C34613">
        <w:rPr>
          <w:rFonts w:ascii="Cambria" w:hAnsi="Cambria"/>
          <w:sz w:val="24"/>
        </w:rPr>
        <w:t xml:space="preserve">        ↓</w:t>
      </w:r>
    </w:p>
    <w:p w:rsidR="00C34613" w:rsidRPr="00C34613" w:rsidRDefault="00C34613" w:rsidP="00C34613">
      <w:pPr>
        <w:spacing w:after="0"/>
        <w:jc w:val="both"/>
        <w:rPr>
          <w:rFonts w:ascii="Cambria" w:hAnsi="Cambria"/>
          <w:sz w:val="24"/>
        </w:rPr>
      </w:pPr>
      <w:r w:rsidRPr="00C34613">
        <w:rPr>
          <w:rFonts w:ascii="Cambria" w:hAnsi="Cambria"/>
          <w:sz w:val="24"/>
        </w:rPr>
        <w:t>[Model Evaluation]</w:t>
      </w:r>
    </w:p>
    <w:p w:rsidR="00C34613" w:rsidRPr="00C34613" w:rsidRDefault="00C34613" w:rsidP="00C34613">
      <w:pPr>
        <w:spacing w:after="0"/>
        <w:jc w:val="both"/>
        <w:rPr>
          <w:rFonts w:ascii="Cambria" w:hAnsi="Cambria"/>
          <w:sz w:val="24"/>
        </w:rPr>
      </w:pPr>
      <w:r w:rsidRPr="00C34613">
        <w:rPr>
          <w:rFonts w:ascii="Cambria" w:hAnsi="Cambria"/>
          <w:sz w:val="24"/>
        </w:rPr>
        <w:t xml:space="preserve">        ↓</w:t>
      </w:r>
    </w:p>
    <w:p w:rsidR="00C34613" w:rsidRPr="00C34613" w:rsidRDefault="00C34613" w:rsidP="00C34613">
      <w:pPr>
        <w:spacing w:after="0"/>
        <w:jc w:val="both"/>
        <w:rPr>
          <w:rFonts w:ascii="Cambria" w:hAnsi="Cambria"/>
          <w:sz w:val="24"/>
        </w:rPr>
      </w:pPr>
      <w:r w:rsidRPr="00C34613">
        <w:rPr>
          <w:rFonts w:ascii="Cambria" w:hAnsi="Cambria"/>
          <w:sz w:val="24"/>
        </w:rPr>
        <w:t>[Deployment]</w:t>
      </w:r>
    </w:p>
    <w:p w:rsidR="00C34613" w:rsidRPr="00C34613" w:rsidRDefault="00C34613" w:rsidP="00C34613">
      <w:pPr>
        <w:spacing w:after="0"/>
        <w:jc w:val="both"/>
        <w:rPr>
          <w:rFonts w:ascii="Cambria" w:hAnsi="Cambria"/>
          <w:sz w:val="24"/>
        </w:rPr>
      </w:pPr>
      <w:r w:rsidRPr="00C34613">
        <w:rPr>
          <w:rFonts w:ascii="Cambria" w:hAnsi="Cambria"/>
          <w:sz w:val="24"/>
        </w:rPr>
        <w:t xml:space="preserve">        ↓</w:t>
      </w:r>
    </w:p>
    <w:p w:rsidR="00C34613" w:rsidRDefault="00042850" w:rsidP="00C34613">
      <w:pPr>
        <w:spacing w:after="0"/>
        <w:jc w:val="both"/>
        <w:rPr>
          <w:rFonts w:ascii="Cambria" w:hAnsi="Cambria"/>
          <w:sz w:val="24"/>
        </w:rPr>
      </w:pPr>
      <w:r>
        <w:rPr>
          <w:rFonts w:ascii="Cambria" w:hAnsi="Cambria"/>
          <w:sz w:val="24"/>
        </w:rPr>
        <w:t>[Monitoring &amp; Optimization]</w:t>
      </w: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Pr="00C34613" w:rsidRDefault="00042850" w:rsidP="00C34613">
      <w:pPr>
        <w:spacing w:after="0"/>
        <w:jc w:val="both"/>
        <w:rPr>
          <w:rFonts w:ascii="Cambria" w:hAnsi="Cambria"/>
          <w:sz w:val="24"/>
        </w:rPr>
      </w:pPr>
    </w:p>
    <w:p w:rsidR="00C34613" w:rsidRPr="00042850" w:rsidRDefault="00042850" w:rsidP="00C34613">
      <w:pPr>
        <w:spacing w:after="0"/>
        <w:jc w:val="both"/>
        <w:rPr>
          <w:rFonts w:ascii="Cambria" w:hAnsi="Cambria"/>
          <w:b/>
          <w:sz w:val="24"/>
        </w:rPr>
      </w:pPr>
      <w:r w:rsidRPr="00042850">
        <w:rPr>
          <w:rFonts w:ascii="Cambria" w:hAnsi="Cambria"/>
          <w:b/>
          <w:sz w:val="24"/>
        </w:rPr>
        <w:lastRenderedPageBreak/>
        <w:t>Conclusion</w:t>
      </w:r>
    </w:p>
    <w:p w:rsidR="00C34613" w:rsidRPr="00C34613" w:rsidRDefault="00C34613" w:rsidP="00042850">
      <w:pPr>
        <w:spacing w:after="0"/>
        <w:ind w:firstLine="720"/>
        <w:jc w:val="both"/>
        <w:rPr>
          <w:rFonts w:ascii="Cambria" w:hAnsi="Cambria"/>
          <w:sz w:val="24"/>
        </w:rPr>
      </w:pPr>
      <w:r w:rsidRPr="00C34613">
        <w:rPr>
          <w:rFonts w:ascii="Cambria" w:hAnsi="Cambria"/>
          <w:sz w:val="24"/>
        </w:rPr>
        <w:t>Applying the AI Development Workflow to the problem of predicting patient readmission risk demonstrates both the promise and complexity of AI-driven healthcare solutions. While advanced models such as graph-based neural networks show superior performance, their deployment in real-world settings demands careful consideration of data quality, technical scalability, regulatory compliance, and ethical responsibility. The risk of algorithmic bias and the need for interpretability remain central challenges, underscoring the importance of inclusive, participatory design and robust evaluation. As healthcare AI continues to evolve, a holistic, ethically grounded workflow will be essential for delivering equitable and effective patient care.</w:t>
      </w:r>
    </w:p>
    <w:p w:rsidR="00C34613" w:rsidRDefault="00C34613"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Default="00042850" w:rsidP="00C34613">
      <w:pPr>
        <w:spacing w:after="0"/>
        <w:jc w:val="both"/>
        <w:rPr>
          <w:rFonts w:ascii="Cambria" w:hAnsi="Cambria"/>
          <w:sz w:val="24"/>
        </w:rPr>
      </w:pPr>
    </w:p>
    <w:p w:rsidR="00042850" w:rsidRPr="00C34613" w:rsidRDefault="00042850" w:rsidP="00C34613">
      <w:pPr>
        <w:spacing w:after="0"/>
        <w:jc w:val="both"/>
        <w:rPr>
          <w:rFonts w:ascii="Cambria" w:hAnsi="Cambria"/>
          <w:sz w:val="24"/>
        </w:rPr>
      </w:pPr>
    </w:p>
    <w:p w:rsidR="00C34613" w:rsidRPr="00042850" w:rsidRDefault="00C34613" w:rsidP="00C34613">
      <w:pPr>
        <w:spacing w:after="0"/>
        <w:jc w:val="both"/>
        <w:rPr>
          <w:rFonts w:ascii="Cambria" w:hAnsi="Cambria"/>
          <w:b/>
          <w:sz w:val="24"/>
        </w:rPr>
      </w:pPr>
      <w:r w:rsidRPr="00042850">
        <w:rPr>
          <w:rFonts w:ascii="Cambria" w:hAnsi="Cambria"/>
          <w:b/>
          <w:sz w:val="24"/>
        </w:rPr>
        <w:lastRenderedPageBreak/>
        <w:t>References</w:t>
      </w:r>
    </w:p>
    <w:p w:rsidR="00C34613" w:rsidRPr="00C34613" w:rsidRDefault="00C34613" w:rsidP="00C34613">
      <w:pPr>
        <w:spacing w:after="0" w:line="240" w:lineRule="auto"/>
        <w:ind w:left="720" w:hanging="720"/>
        <w:jc w:val="both"/>
        <w:rPr>
          <w:rFonts w:ascii="Times New Roman" w:hAnsi="Times New Roman" w:cs="Times New Roman"/>
          <w:sz w:val="24"/>
        </w:rPr>
      </w:pPr>
      <w:r w:rsidRPr="00C34613">
        <w:rPr>
          <w:rFonts w:ascii="Times New Roman" w:hAnsi="Times New Roman" w:cs="Times New Roman"/>
          <w:sz w:val="24"/>
        </w:rPr>
        <w:t xml:space="preserve">Choudhury, A., &amp; Greene, C. M. (2018). Evaluating patient readmission risk: A predictive analytics approach. American Journal of Engineering and Applied Sciences, 11(4), 1320–1331. </w:t>
      </w:r>
      <w:hyperlink r:id="rId4" w:history="1">
        <w:r w:rsidRPr="00C34613">
          <w:rPr>
            <w:rStyle w:val="Hyperlink"/>
            <w:rFonts w:ascii="Times New Roman" w:hAnsi="Times New Roman" w:cs="Times New Roman"/>
            <w:sz w:val="24"/>
          </w:rPr>
          <w:t>http://arxiv.org/pdf/1812.11028v2</w:t>
        </w:r>
      </w:hyperlink>
      <w:r w:rsidRPr="00C34613">
        <w:rPr>
          <w:rFonts w:ascii="Times New Roman" w:hAnsi="Times New Roman" w:cs="Times New Roman"/>
          <w:sz w:val="24"/>
        </w:rPr>
        <w:t xml:space="preserve"> </w:t>
      </w:r>
    </w:p>
    <w:p w:rsidR="00C34613" w:rsidRPr="00C34613" w:rsidRDefault="00C34613" w:rsidP="00C34613">
      <w:pPr>
        <w:spacing w:after="0" w:line="240" w:lineRule="auto"/>
        <w:ind w:left="720" w:hanging="720"/>
        <w:jc w:val="both"/>
        <w:rPr>
          <w:rFonts w:ascii="Times New Roman" w:hAnsi="Times New Roman" w:cs="Times New Roman"/>
          <w:sz w:val="24"/>
        </w:rPr>
      </w:pPr>
    </w:p>
    <w:p w:rsidR="00C34613" w:rsidRPr="00C34613" w:rsidRDefault="00C34613" w:rsidP="00C34613">
      <w:pPr>
        <w:spacing w:after="0" w:line="240" w:lineRule="auto"/>
        <w:ind w:left="720" w:hanging="720"/>
        <w:jc w:val="both"/>
        <w:rPr>
          <w:rFonts w:ascii="Times New Roman" w:hAnsi="Times New Roman" w:cs="Times New Roman"/>
          <w:sz w:val="24"/>
        </w:rPr>
      </w:pPr>
      <w:r w:rsidRPr="00C34613">
        <w:rPr>
          <w:rFonts w:ascii="Times New Roman" w:hAnsi="Times New Roman" w:cs="Times New Roman"/>
          <w:sz w:val="24"/>
        </w:rPr>
        <w:t xml:space="preserve">Lu, Q., Nguyen, T. H., &amp; Dou, D. (2021). Predicting patient readmission risk from medical text via knowledge graph enhanced </w:t>
      </w:r>
      <w:proofErr w:type="spellStart"/>
      <w:r w:rsidRPr="00C34613">
        <w:rPr>
          <w:rFonts w:ascii="Times New Roman" w:hAnsi="Times New Roman" w:cs="Times New Roman"/>
          <w:sz w:val="24"/>
        </w:rPr>
        <w:t>multiview</w:t>
      </w:r>
      <w:proofErr w:type="spellEnd"/>
      <w:r w:rsidRPr="00C34613">
        <w:rPr>
          <w:rFonts w:ascii="Times New Roman" w:hAnsi="Times New Roman" w:cs="Times New Roman"/>
          <w:sz w:val="24"/>
        </w:rPr>
        <w:t xml:space="preserve"> graph convolution. In Proceedings of the 44th International ACM SIGIR Conference on Research and Development in Information Retrieval, 5 pages. </w:t>
      </w:r>
      <w:hyperlink r:id="rId5" w:history="1">
        <w:r w:rsidRPr="00C34613">
          <w:rPr>
            <w:rStyle w:val="Hyperlink"/>
            <w:rFonts w:ascii="Times New Roman" w:hAnsi="Times New Roman" w:cs="Times New Roman"/>
            <w:sz w:val="24"/>
          </w:rPr>
          <w:t>https://doi.org/10.1145/3404835.3463062</w:t>
        </w:r>
      </w:hyperlink>
      <w:r w:rsidRPr="00C34613">
        <w:rPr>
          <w:rFonts w:ascii="Times New Roman" w:hAnsi="Times New Roman" w:cs="Times New Roman"/>
          <w:sz w:val="24"/>
        </w:rPr>
        <w:t xml:space="preserve"> </w:t>
      </w:r>
    </w:p>
    <w:p w:rsidR="00C34613" w:rsidRPr="00C34613" w:rsidRDefault="00C34613" w:rsidP="00C34613">
      <w:pPr>
        <w:spacing w:after="0" w:line="240" w:lineRule="auto"/>
        <w:ind w:left="720" w:hanging="720"/>
        <w:jc w:val="both"/>
        <w:rPr>
          <w:rFonts w:ascii="Times New Roman" w:hAnsi="Times New Roman" w:cs="Times New Roman"/>
          <w:sz w:val="24"/>
        </w:rPr>
      </w:pPr>
    </w:p>
    <w:p w:rsidR="00C34613" w:rsidRPr="00C34613" w:rsidRDefault="00C34613" w:rsidP="00C34613">
      <w:pPr>
        <w:spacing w:after="0" w:line="240" w:lineRule="auto"/>
        <w:ind w:left="720" w:hanging="720"/>
        <w:jc w:val="both"/>
        <w:rPr>
          <w:rFonts w:ascii="Times New Roman" w:hAnsi="Times New Roman" w:cs="Times New Roman"/>
          <w:sz w:val="24"/>
        </w:rPr>
      </w:pPr>
      <w:r w:rsidRPr="00C34613">
        <w:rPr>
          <w:rFonts w:ascii="Times New Roman" w:hAnsi="Times New Roman" w:cs="Times New Roman"/>
          <w:sz w:val="24"/>
        </w:rPr>
        <w:t xml:space="preserve">Mohammad, S. M. (2020). Practical and ethical considerations in the effective use of emotion and sentiment lexicons. </w:t>
      </w:r>
      <w:proofErr w:type="spellStart"/>
      <w:proofErr w:type="gramStart"/>
      <w:r w:rsidRPr="00C34613">
        <w:rPr>
          <w:rFonts w:ascii="Times New Roman" w:hAnsi="Times New Roman" w:cs="Times New Roman"/>
          <w:sz w:val="24"/>
        </w:rPr>
        <w:t>arXiv</w:t>
      </w:r>
      <w:proofErr w:type="spellEnd"/>
      <w:proofErr w:type="gramEnd"/>
      <w:r w:rsidRPr="00C34613">
        <w:rPr>
          <w:rFonts w:ascii="Times New Roman" w:hAnsi="Times New Roman" w:cs="Times New Roman"/>
          <w:sz w:val="24"/>
        </w:rPr>
        <w:t xml:space="preserve"> preprint arXiv:2011.03492v2. </w:t>
      </w:r>
      <w:hyperlink r:id="rId6" w:history="1">
        <w:r w:rsidRPr="00C34613">
          <w:rPr>
            <w:rStyle w:val="Hyperlink"/>
            <w:rFonts w:ascii="Times New Roman" w:hAnsi="Times New Roman" w:cs="Times New Roman"/>
            <w:sz w:val="24"/>
          </w:rPr>
          <w:t>http://arxiv.org/pdf/2011.03492v2</w:t>
        </w:r>
      </w:hyperlink>
      <w:r w:rsidRPr="00C34613">
        <w:rPr>
          <w:rFonts w:ascii="Times New Roman" w:hAnsi="Times New Roman" w:cs="Times New Roman"/>
          <w:sz w:val="24"/>
        </w:rPr>
        <w:t xml:space="preserve"> </w:t>
      </w:r>
    </w:p>
    <w:p w:rsidR="00C34613" w:rsidRPr="00C34613" w:rsidRDefault="00C34613" w:rsidP="00C34613">
      <w:pPr>
        <w:spacing w:after="0" w:line="240" w:lineRule="auto"/>
        <w:ind w:left="720" w:hanging="720"/>
        <w:jc w:val="both"/>
        <w:rPr>
          <w:rFonts w:ascii="Times New Roman" w:hAnsi="Times New Roman" w:cs="Times New Roman"/>
          <w:sz w:val="24"/>
        </w:rPr>
      </w:pPr>
    </w:p>
    <w:p w:rsidR="00C34613" w:rsidRPr="00C34613" w:rsidRDefault="00C34613" w:rsidP="00C34613">
      <w:pPr>
        <w:spacing w:after="0" w:line="240" w:lineRule="auto"/>
        <w:ind w:left="720" w:hanging="720"/>
        <w:jc w:val="both"/>
        <w:rPr>
          <w:rFonts w:ascii="Times New Roman" w:hAnsi="Times New Roman" w:cs="Times New Roman"/>
          <w:sz w:val="24"/>
        </w:rPr>
      </w:pPr>
      <w:r w:rsidRPr="00C34613">
        <w:rPr>
          <w:rFonts w:ascii="Times New Roman" w:hAnsi="Times New Roman" w:cs="Times New Roman"/>
          <w:sz w:val="24"/>
        </w:rPr>
        <w:t xml:space="preserve">Wood, N. J. (2023). Ethical considerations of AR applications in smartphones: A systematic literature review of consumer perspectives. </w:t>
      </w:r>
      <w:hyperlink r:id="rId7" w:history="1">
        <w:r w:rsidRPr="00C34613">
          <w:rPr>
            <w:rStyle w:val="Hyperlink"/>
            <w:rFonts w:ascii="Times New Roman" w:hAnsi="Times New Roman" w:cs="Times New Roman"/>
            <w:sz w:val="24"/>
          </w:rPr>
          <w:t>http://arxiv.org/pdf/2306.07288v1</w:t>
        </w:r>
      </w:hyperlink>
      <w:r w:rsidRPr="00C34613">
        <w:rPr>
          <w:rFonts w:ascii="Times New Roman" w:hAnsi="Times New Roman" w:cs="Times New Roman"/>
          <w:sz w:val="24"/>
        </w:rPr>
        <w:t xml:space="preserve"> </w:t>
      </w:r>
    </w:p>
    <w:p w:rsidR="00C34613" w:rsidRPr="00C34613" w:rsidRDefault="00C34613" w:rsidP="00C34613">
      <w:pPr>
        <w:spacing w:after="0"/>
        <w:ind w:hanging="720"/>
        <w:jc w:val="both"/>
        <w:rPr>
          <w:rFonts w:ascii="Cambria" w:hAnsi="Cambria"/>
          <w:sz w:val="24"/>
        </w:rPr>
      </w:pPr>
    </w:p>
    <w:p w:rsidR="00B93FEB" w:rsidRPr="00C34613" w:rsidRDefault="00B93FEB" w:rsidP="00C34613">
      <w:pPr>
        <w:spacing w:after="0"/>
        <w:ind w:hanging="720"/>
        <w:jc w:val="both"/>
        <w:rPr>
          <w:rFonts w:ascii="Cambria" w:hAnsi="Cambria"/>
          <w:sz w:val="28"/>
        </w:rPr>
      </w:pPr>
    </w:p>
    <w:sectPr w:rsidR="00B93FEB" w:rsidRPr="00C34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93FEB"/>
    <w:rsid w:val="00042850"/>
    <w:rsid w:val="0028123A"/>
    <w:rsid w:val="002D6636"/>
    <w:rsid w:val="00B93FEB"/>
    <w:rsid w:val="00C34613"/>
    <w:rsid w:val="00CE2464"/>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7A9632"/>
  <w15:chartTrackingRefBased/>
  <w15:docId w15:val="{47C7CEF0-2FF8-4F44-9D7B-7576B1B2D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93F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arxiv.org/pdf/2306.07288v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rxiv.org/pdf/2011.03492v2" TargetMode="External"/><Relationship Id="rId5" Type="http://schemas.openxmlformats.org/officeDocument/2006/relationships/hyperlink" Target="https://doi.org/10.1145/3404835.3463062" TargetMode="External"/><Relationship Id="rId4" Type="http://schemas.openxmlformats.org/officeDocument/2006/relationships/hyperlink" Target="http://arxiv.org/pdf/1812.11028v2"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1483</Words>
  <Characters>9966</Characters>
  <Application>Microsoft Office Word</Application>
  <DocSecurity>0</DocSecurity>
  <Lines>293</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Yolisa Qadi</dc:creator>
  <cp:keywords/>
  <dc:description/>
  <cp:lastModifiedBy>Yolisa Qadi</cp:lastModifiedBy>
  <cp:revision>2</cp:revision>
  <cp:lastPrinted>2025-10-23T00:37:00Z</cp:lastPrinted>
  <dcterms:created xsi:type="dcterms:W3CDTF">2025-10-23T01:11:00Z</dcterms:created>
  <dcterms:modified xsi:type="dcterms:W3CDTF">2025-10-23T01:11:00Z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069c1a44-c4f9-43ca-8e09-e80abc3dfa75</vt:lpwstr>
  </property>
</Properties>
</file>