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1FF" w:rsidRPr="005C11FF" w:rsidRDefault="005C11FF" w:rsidP="005C11FF">
      <w:pPr>
        <w:jc w:val="both"/>
      </w:pPr>
      <w:r w:rsidRPr="005C11FF">
        <w:rPr>
          <w:noProof/>
          <w:lang w:eastAsia="en-ZA"/>
        </w:rPr>
        <w:drawing>
          <wp:anchor distT="0" distB="0" distL="114300" distR="114300" simplePos="0" relativeHeight="251659264" behindDoc="0" locked="0" layoutInCell="1" allowOverlap="1" wp14:anchorId="0957EF36" wp14:editId="0D80975A">
            <wp:simplePos x="0" y="0"/>
            <wp:positionH relativeFrom="column">
              <wp:posOffset>1218565</wp:posOffset>
            </wp:positionH>
            <wp:positionV relativeFrom="paragraph">
              <wp:posOffset>9525</wp:posOffset>
            </wp:positionV>
            <wp:extent cx="3114675" cy="97472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974725"/>
                    </a:xfrm>
                    <a:prstGeom prst="rect">
                      <a:avLst/>
                    </a:prstGeom>
                    <a:noFill/>
                  </pic:spPr>
                </pic:pic>
              </a:graphicData>
            </a:graphic>
            <wp14:sizeRelH relativeFrom="page">
              <wp14:pctWidth>0</wp14:pctWidth>
            </wp14:sizeRelH>
            <wp14:sizeRelV relativeFrom="page">
              <wp14:pctHeight>0</wp14:pctHeight>
            </wp14:sizeRelV>
          </wp:anchor>
        </w:drawing>
      </w:r>
    </w:p>
    <w:p w:rsidR="005C11FF" w:rsidRPr="005C11FF" w:rsidRDefault="005C11FF" w:rsidP="005C11FF"/>
    <w:p w:rsidR="005C11FF" w:rsidRPr="005C11FF" w:rsidRDefault="005C11FF" w:rsidP="005C11FF"/>
    <w:p w:rsidR="005C11FF" w:rsidRPr="005C11FF" w:rsidRDefault="005C11FF" w:rsidP="005C11FF"/>
    <w:p w:rsidR="005C11FF" w:rsidRPr="005C11FF" w:rsidRDefault="005C11FF" w:rsidP="005C11FF">
      <w:pPr>
        <w:spacing w:after="120" w:line="266" w:lineRule="auto"/>
        <w:ind w:left="438" w:right="406"/>
        <w:jc w:val="center"/>
        <w:rPr>
          <w:rFonts w:ascii="Calibri" w:eastAsia="Calibri" w:hAnsi="Calibri" w:cs="Calibri"/>
          <w:b/>
          <w:bCs/>
          <w:kern w:val="0"/>
          <w:sz w:val="28"/>
          <w:szCs w:val="28"/>
          <w:lang w:val="en-US"/>
          <w14:ligatures w14:val="none"/>
        </w:rPr>
      </w:pPr>
      <w:r w:rsidRPr="005C11FF">
        <w:rPr>
          <w:rFonts w:ascii="Calibri" w:eastAsia="Calibri" w:hAnsi="Calibri" w:cs="Calibri"/>
          <w:b/>
          <w:bCs/>
          <w:color w:val="231F20"/>
          <w:kern w:val="0"/>
          <w:sz w:val="28"/>
          <w:szCs w:val="28"/>
          <w:lang w:val="en-US"/>
          <w14:ligatures w14:val="none"/>
        </w:rPr>
        <w:t>Bachelor Honours in Computer and Information Sciences</w:t>
      </w:r>
      <w:r w:rsidRPr="005C11FF">
        <w:rPr>
          <w:rFonts w:ascii="Calibri" w:eastAsia="Calibri" w:hAnsi="Calibri" w:cs="Calibri"/>
          <w:b/>
          <w:spacing w:val="40"/>
          <w:kern w:val="0"/>
          <w:sz w:val="28"/>
          <w:szCs w:val="28"/>
          <w:lang w:val="en-US"/>
          <w14:ligatures w14:val="none"/>
        </w:rPr>
        <w:t xml:space="preserve"> </w:t>
      </w:r>
      <w:r w:rsidRPr="005C11FF">
        <w:rPr>
          <w:rFonts w:ascii="Calibri" w:eastAsia="Calibri" w:hAnsi="Calibri" w:cs="Calibri"/>
          <w:b/>
          <w:spacing w:val="40"/>
          <w:kern w:val="0"/>
          <w:sz w:val="28"/>
          <w:szCs w:val="28"/>
          <w:lang w:val="en-US"/>
          <w14:ligatures w14:val="none"/>
        </w:rPr>
        <w:br/>
      </w:r>
      <w:r w:rsidRPr="005C11FF">
        <w:rPr>
          <w:rFonts w:ascii="Calibri" w:eastAsia="Calibri" w:hAnsi="Calibri" w:cs="Calibri"/>
          <w:color w:val="231F20"/>
          <w:kern w:val="0"/>
          <w:sz w:val="28"/>
          <w:szCs w:val="28"/>
          <w:lang w:val="en-US"/>
          <w14:ligatures w14:val="none"/>
        </w:rPr>
        <w:t xml:space="preserve">at </w:t>
      </w:r>
      <w:proofErr w:type="gramStart"/>
      <w:r w:rsidRPr="005C11FF">
        <w:rPr>
          <w:rFonts w:ascii="Calibri" w:eastAsia="Calibri" w:hAnsi="Calibri" w:cs="Calibri"/>
          <w:color w:val="231F20"/>
          <w:kern w:val="0"/>
          <w:sz w:val="28"/>
          <w:szCs w:val="28"/>
          <w:lang w:val="en-US"/>
          <w14:ligatures w14:val="none"/>
        </w:rPr>
        <w:t>The</w:t>
      </w:r>
      <w:proofErr w:type="gramEnd"/>
      <w:r w:rsidRPr="005C11FF">
        <w:rPr>
          <w:rFonts w:ascii="Calibri" w:eastAsia="Calibri" w:hAnsi="Calibri" w:cs="Calibri"/>
          <w:color w:val="231F20"/>
          <w:kern w:val="0"/>
          <w:sz w:val="28"/>
          <w:szCs w:val="28"/>
          <w:lang w:val="en-US"/>
          <w14:ligatures w14:val="none"/>
        </w:rPr>
        <w:t xml:space="preserve"> Independent Institute of Education</w:t>
      </w:r>
    </w:p>
    <w:p w:rsidR="005C11FF" w:rsidRPr="005C11FF" w:rsidRDefault="005C11FF" w:rsidP="005C11FF">
      <w:pPr>
        <w:widowControl w:val="0"/>
        <w:autoSpaceDE w:val="0"/>
        <w:autoSpaceDN w:val="0"/>
        <w:spacing w:after="0" w:line="240" w:lineRule="auto"/>
        <w:rPr>
          <w:rFonts w:ascii="Calibri" w:eastAsia="Calibri" w:hAnsi="Calibri" w:cs="Calibri"/>
          <w:kern w:val="0"/>
          <w:sz w:val="20"/>
          <w:szCs w:val="20"/>
          <w:lang w:val="en-US"/>
          <w14:ligatures w14:val="none"/>
        </w:rPr>
      </w:pPr>
    </w:p>
    <w:p w:rsidR="005C11FF" w:rsidRPr="005C11FF" w:rsidRDefault="005C11FF" w:rsidP="005C11FF">
      <w:pPr>
        <w:widowControl w:val="0"/>
        <w:autoSpaceDE w:val="0"/>
        <w:autoSpaceDN w:val="0"/>
        <w:spacing w:before="2" w:after="0" w:line="240" w:lineRule="auto"/>
        <w:rPr>
          <w:rFonts w:ascii="Calibri" w:eastAsia="Calibri" w:hAnsi="Calibri" w:cs="Calibri"/>
          <w:kern w:val="0"/>
          <w:szCs w:val="20"/>
          <w:lang w:val="en-US"/>
          <w14:ligatures w14:val="none"/>
        </w:rPr>
      </w:pPr>
    </w:p>
    <w:p w:rsidR="005C11FF" w:rsidRPr="005C11FF" w:rsidRDefault="005C11FF" w:rsidP="005C11FF">
      <w:pPr>
        <w:spacing w:after="0"/>
        <w:ind w:left="2250" w:right="2250"/>
        <w:jc w:val="center"/>
        <w:rPr>
          <w:b/>
          <w:i/>
          <w:color w:val="231F20"/>
          <w:spacing w:val="-2"/>
          <w:sz w:val="28"/>
          <w:szCs w:val="28"/>
          <w:lang w:val="en-GB"/>
        </w:rPr>
      </w:pPr>
      <w:r w:rsidRPr="005C11FF">
        <w:rPr>
          <w:b/>
          <w:i/>
          <w:color w:val="231F20"/>
          <w:sz w:val="28"/>
          <w:szCs w:val="28"/>
          <w:lang w:val="en-GB"/>
        </w:rPr>
        <w:t>Student</w:t>
      </w:r>
      <w:r w:rsidRPr="005C11FF">
        <w:rPr>
          <w:b/>
          <w:i/>
          <w:color w:val="231F20"/>
          <w:spacing w:val="7"/>
          <w:sz w:val="28"/>
          <w:szCs w:val="28"/>
          <w:lang w:val="en-GB"/>
        </w:rPr>
        <w:t xml:space="preserve"> </w:t>
      </w:r>
      <w:r w:rsidRPr="005C11FF">
        <w:rPr>
          <w:b/>
          <w:i/>
          <w:color w:val="231F20"/>
          <w:sz w:val="28"/>
          <w:szCs w:val="28"/>
          <w:lang w:val="en-GB"/>
        </w:rPr>
        <w:t>Name</w:t>
      </w:r>
      <w:r w:rsidRPr="005C11FF">
        <w:rPr>
          <w:b/>
          <w:i/>
          <w:color w:val="231F20"/>
          <w:spacing w:val="8"/>
          <w:sz w:val="28"/>
          <w:szCs w:val="28"/>
          <w:lang w:val="en-GB"/>
        </w:rPr>
        <w:t xml:space="preserve"> </w:t>
      </w:r>
      <w:r w:rsidRPr="005C11FF">
        <w:rPr>
          <w:b/>
          <w:i/>
          <w:color w:val="231F20"/>
          <w:sz w:val="28"/>
          <w:szCs w:val="28"/>
          <w:lang w:val="en-GB"/>
        </w:rPr>
        <w:t>and</w:t>
      </w:r>
      <w:r w:rsidRPr="005C11FF">
        <w:rPr>
          <w:b/>
          <w:i/>
          <w:color w:val="231F20"/>
          <w:spacing w:val="7"/>
          <w:sz w:val="28"/>
          <w:szCs w:val="28"/>
          <w:lang w:val="en-GB"/>
        </w:rPr>
        <w:t xml:space="preserve"> </w:t>
      </w:r>
      <w:r w:rsidRPr="005C11FF">
        <w:rPr>
          <w:b/>
          <w:i/>
          <w:color w:val="231F20"/>
          <w:spacing w:val="-2"/>
          <w:sz w:val="28"/>
          <w:szCs w:val="28"/>
          <w:lang w:val="en-GB"/>
        </w:rPr>
        <w:t>Surname</w:t>
      </w:r>
    </w:p>
    <w:p w:rsidR="005C11FF" w:rsidRPr="005C11FF" w:rsidRDefault="005C11FF" w:rsidP="005C11FF">
      <w:pPr>
        <w:spacing w:after="0"/>
        <w:ind w:left="2250" w:right="2250"/>
        <w:jc w:val="center"/>
        <w:rPr>
          <w:b/>
          <w:i/>
          <w:sz w:val="28"/>
          <w:szCs w:val="28"/>
          <w:lang w:val="en-GB"/>
        </w:rPr>
      </w:pPr>
      <w:r w:rsidRPr="005C11FF">
        <w:rPr>
          <w:b/>
          <w:i/>
          <w:sz w:val="28"/>
          <w:szCs w:val="28"/>
          <w:lang w:val="en-GB"/>
        </w:rPr>
        <w:t>Yolisa Qadi</w:t>
      </w:r>
    </w:p>
    <w:p w:rsidR="005C11FF" w:rsidRPr="005C11FF" w:rsidRDefault="005C11FF" w:rsidP="005C11FF">
      <w:pPr>
        <w:spacing w:before="40" w:after="0"/>
        <w:ind w:left="2250" w:right="2250"/>
        <w:jc w:val="center"/>
        <w:rPr>
          <w:b/>
          <w:color w:val="231F20"/>
          <w:spacing w:val="-2"/>
          <w:sz w:val="28"/>
          <w:szCs w:val="28"/>
          <w:lang w:val="en-GB"/>
        </w:rPr>
      </w:pPr>
      <w:r w:rsidRPr="005C11FF">
        <w:rPr>
          <w:b/>
          <w:color w:val="231F20"/>
          <w:sz w:val="28"/>
          <w:szCs w:val="28"/>
          <w:lang w:val="en-GB"/>
        </w:rPr>
        <w:t xml:space="preserve">Student </w:t>
      </w:r>
      <w:r w:rsidRPr="005C11FF">
        <w:rPr>
          <w:b/>
          <w:color w:val="231F20"/>
          <w:spacing w:val="-2"/>
          <w:sz w:val="28"/>
          <w:szCs w:val="28"/>
          <w:lang w:val="en-GB"/>
        </w:rPr>
        <w:t>number</w:t>
      </w:r>
    </w:p>
    <w:p w:rsidR="005C11FF" w:rsidRPr="005C11FF" w:rsidRDefault="005C11FF" w:rsidP="005C11FF">
      <w:pPr>
        <w:spacing w:before="40" w:after="0"/>
        <w:ind w:left="2250" w:right="2250"/>
        <w:jc w:val="center"/>
        <w:rPr>
          <w:b/>
          <w:sz w:val="28"/>
          <w:szCs w:val="28"/>
          <w:lang w:val="en-GB"/>
        </w:rPr>
      </w:pPr>
      <w:r w:rsidRPr="005C11FF">
        <w:rPr>
          <w:b/>
          <w:color w:val="231F20"/>
          <w:spacing w:val="-2"/>
          <w:sz w:val="28"/>
          <w:szCs w:val="28"/>
          <w:lang w:val="en-GB"/>
        </w:rPr>
        <w:t>ST10472252</w:t>
      </w:r>
    </w:p>
    <w:p w:rsidR="005C11FF" w:rsidRPr="005C11FF" w:rsidRDefault="005C11FF" w:rsidP="005C11FF">
      <w:pPr>
        <w:jc w:val="center"/>
        <w:rPr>
          <w:b/>
          <w:bCs/>
          <w:sz w:val="24"/>
        </w:rPr>
      </w:pPr>
      <w:r w:rsidRPr="005C11FF">
        <w:rPr>
          <w:b/>
          <w:bCs/>
          <w:sz w:val="24"/>
        </w:rPr>
        <w:t>Activity 1.2.2</w:t>
      </w:r>
    </w:p>
    <w:p w:rsidR="005C11FF" w:rsidRDefault="005C11FF" w:rsidP="005C11FF">
      <w:pPr>
        <w:jc w:val="center"/>
        <w:rPr>
          <w:b/>
          <w:sz w:val="24"/>
        </w:rPr>
      </w:pPr>
      <w:bookmarkStart w:id="0" w:name="_GoBack"/>
      <w:bookmarkEnd w:id="0"/>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Default="005C11FF" w:rsidP="005C11FF">
      <w:pPr>
        <w:jc w:val="center"/>
        <w:rPr>
          <w:b/>
          <w:sz w:val="24"/>
        </w:rPr>
      </w:pPr>
    </w:p>
    <w:p w:rsidR="005C11FF" w:rsidRPr="005C11FF" w:rsidRDefault="005C11FF" w:rsidP="005C11FF">
      <w:pPr>
        <w:jc w:val="center"/>
        <w:rPr>
          <w:b/>
          <w:sz w:val="24"/>
        </w:rPr>
      </w:pPr>
    </w:p>
    <w:p w:rsidR="00233C0A" w:rsidRPr="00233C0A" w:rsidRDefault="00233C0A" w:rsidP="009C082F">
      <w:pPr>
        <w:spacing w:after="0"/>
        <w:jc w:val="both"/>
        <w:rPr>
          <w:rFonts w:ascii="Cambria" w:hAnsi="Cambria"/>
          <w:b/>
          <w:bCs/>
        </w:rPr>
      </w:pPr>
      <w:r w:rsidRPr="00233C0A">
        <w:rPr>
          <w:rFonts w:ascii="Cambria" w:hAnsi="Cambria"/>
          <w:b/>
          <w:bCs/>
        </w:rPr>
        <w:lastRenderedPageBreak/>
        <w:t>Transitioning to a Post-Singularity World: Guidelines for Ethical Superintelligence</w:t>
      </w:r>
    </w:p>
    <w:p w:rsidR="00233C0A" w:rsidRPr="00F75FA1" w:rsidRDefault="00233C0A" w:rsidP="009C082F">
      <w:pPr>
        <w:pStyle w:val="ListParagraph"/>
        <w:numPr>
          <w:ilvl w:val="0"/>
          <w:numId w:val="2"/>
        </w:numPr>
        <w:spacing w:after="0"/>
        <w:jc w:val="both"/>
        <w:rPr>
          <w:rFonts w:ascii="Cambria" w:hAnsi="Cambria"/>
          <w:b/>
          <w:bCs/>
        </w:rPr>
      </w:pPr>
      <w:r w:rsidRPr="00F75FA1">
        <w:rPr>
          <w:rFonts w:ascii="Cambria" w:hAnsi="Cambria"/>
          <w:b/>
          <w:bCs/>
        </w:rPr>
        <w:t>Brief definition and why ethics matter.</w:t>
      </w:r>
    </w:p>
    <w:p w:rsidR="00233C0A" w:rsidRDefault="00233C0A" w:rsidP="009C082F">
      <w:pPr>
        <w:spacing w:after="0"/>
        <w:jc w:val="both"/>
        <w:rPr>
          <w:rFonts w:ascii="Cambria" w:hAnsi="Cambria"/>
          <w:bCs/>
        </w:rPr>
      </w:pPr>
      <w:r w:rsidRPr="00233C0A">
        <w:rPr>
          <w:rFonts w:ascii="Cambria" w:hAnsi="Cambria"/>
          <w:bCs/>
        </w:rPr>
        <w:br/>
        <w:t xml:space="preserve">The AI Singularity is a hypothetical point </w:t>
      </w:r>
      <w:r w:rsidR="009C082F">
        <w:rPr>
          <w:rFonts w:ascii="Cambria" w:hAnsi="Cambria"/>
          <w:bCs/>
        </w:rPr>
        <w:t xml:space="preserve">at which technological progress </w:t>
      </w:r>
      <w:r w:rsidRPr="00233C0A">
        <w:rPr>
          <w:rFonts w:ascii="Cambria" w:hAnsi="Cambria"/>
          <w:bCs/>
        </w:rPr>
        <w:t>driv</w:t>
      </w:r>
      <w:r>
        <w:rPr>
          <w:rFonts w:ascii="Cambria" w:hAnsi="Cambria"/>
          <w:bCs/>
        </w:rPr>
        <w:t xml:space="preserve">en by rapidly self-improving AI </w:t>
      </w:r>
      <w:r w:rsidRPr="00233C0A">
        <w:rPr>
          <w:rFonts w:ascii="Cambria" w:hAnsi="Cambria"/>
          <w:bCs/>
        </w:rPr>
        <w:t xml:space="preserve">becomes uncontrollable or qualitatively different from prior trends, producing super intelligent systems that far exceed human cognitive capabilities (Kurzweil, 2005; Wikipedia, 2025; Bostrom, n.d.). While timelines and even the plausibility of a “singularity” remain debated, </w:t>
      </w:r>
      <w:r w:rsidRPr="009C082F">
        <w:rPr>
          <w:rFonts w:ascii="Cambria" w:hAnsi="Cambria"/>
          <w:bCs/>
        </w:rPr>
        <w:t>the ethical stakes are</w:t>
      </w:r>
      <w:r w:rsidRPr="00233C0A">
        <w:rPr>
          <w:rFonts w:ascii="Cambria" w:hAnsi="Cambria"/>
          <w:bCs/>
        </w:rPr>
        <w:t xml:space="preserve"> clear: once systems surpass human capability, failures of transparency, safety, alignment, and equitable governance could scale to civilizational risk (Bostrom, 2014; Russell, 2019).</w:t>
      </w:r>
    </w:p>
    <w:p w:rsidR="00233C0A" w:rsidRPr="00233C0A" w:rsidRDefault="00233C0A" w:rsidP="009C082F">
      <w:pPr>
        <w:spacing w:after="0"/>
        <w:jc w:val="both"/>
        <w:rPr>
          <w:rFonts w:ascii="Cambria" w:hAnsi="Cambria"/>
          <w:bCs/>
        </w:rPr>
      </w:pPr>
    </w:p>
    <w:p w:rsidR="00F75FA1" w:rsidRPr="00F75FA1" w:rsidRDefault="00233C0A" w:rsidP="009C082F">
      <w:pPr>
        <w:pStyle w:val="ListParagraph"/>
        <w:numPr>
          <w:ilvl w:val="0"/>
          <w:numId w:val="2"/>
        </w:numPr>
        <w:spacing w:after="0"/>
        <w:jc w:val="both"/>
        <w:rPr>
          <w:rFonts w:ascii="Cambria" w:hAnsi="Cambria"/>
          <w:b/>
          <w:bCs/>
        </w:rPr>
      </w:pPr>
      <w:r w:rsidRPr="00F75FA1">
        <w:rPr>
          <w:rFonts w:ascii="Cambria" w:hAnsi="Cambria"/>
          <w:b/>
          <w:bCs/>
        </w:rPr>
        <w:t>Governance challen</w:t>
      </w:r>
      <w:r w:rsidR="00F75FA1" w:rsidRPr="00F75FA1">
        <w:rPr>
          <w:rFonts w:ascii="Cambria" w:hAnsi="Cambria"/>
          <w:b/>
          <w:bCs/>
        </w:rPr>
        <w:t>ges at singularity</w:t>
      </w:r>
    </w:p>
    <w:p w:rsidR="00233C0A" w:rsidRPr="00F75FA1" w:rsidRDefault="00233C0A" w:rsidP="009C082F">
      <w:pPr>
        <w:spacing w:after="0"/>
        <w:jc w:val="both"/>
        <w:rPr>
          <w:rFonts w:ascii="Cambria" w:hAnsi="Cambria"/>
          <w:b/>
          <w:bCs/>
        </w:rPr>
      </w:pPr>
      <w:r w:rsidRPr="00233C0A">
        <w:rPr>
          <w:rFonts w:ascii="Cambria" w:hAnsi="Cambria"/>
          <w:bCs/>
        </w:rPr>
        <w:br/>
        <w:t>Governing a trajectory toward superintelligence faces several hard problems. Value alignment is technically and philosophically unresolved—optimising fixed goals can yield perverse outcomes unless systems remain uncertain about human preferences and learn them safely (Ru</w:t>
      </w:r>
      <w:r>
        <w:rPr>
          <w:rFonts w:ascii="Cambria" w:hAnsi="Cambria"/>
          <w:bCs/>
        </w:rPr>
        <w:t>ssell, 2019; Russell, 2019</w:t>
      </w:r>
      <w:r w:rsidRPr="00233C0A">
        <w:rPr>
          <w:rFonts w:ascii="Cambria" w:hAnsi="Cambria"/>
          <w:bCs/>
        </w:rPr>
        <w:t>). Accountability gaps grow as opacity and autonomy increase, complicating responsibility assignment when harms occur. Geopolitical dynamics create a race for capability that can undercut safety investment and transparency. Regulatory mismatch between jurisdictions invites arbitrage, while information hazards (publishing capabilities or exploit methods) complicate open science norms. Finally, distributional impacts from labour displacement to concentrated control of compute, data, and models risk deepening inequality without explicit countermeasures (Stanford HAI, 2025; OECD, 2024/2019).</w:t>
      </w:r>
    </w:p>
    <w:p w:rsidR="00233C0A" w:rsidRPr="00F75FA1" w:rsidRDefault="00233C0A" w:rsidP="009C082F">
      <w:pPr>
        <w:pStyle w:val="ListParagraph"/>
        <w:numPr>
          <w:ilvl w:val="0"/>
          <w:numId w:val="2"/>
        </w:numPr>
        <w:spacing w:after="0"/>
        <w:jc w:val="both"/>
        <w:rPr>
          <w:rFonts w:ascii="Cambria" w:hAnsi="Cambria"/>
          <w:b/>
          <w:bCs/>
        </w:rPr>
      </w:pPr>
      <w:r w:rsidRPr="00F75FA1">
        <w:rPr>
          <w:rFonts w:ascii="Cambria" w:hAnsi="Cambria"/>
          <w:b/>
          <w:bCs/>
        </w:rPr>
        <w:t>Guiding principles fo</w:t>
      </w:r>
      <w:r w:rsidR="00770F05">
        <w:rPr>
          <w:rFonts w:ascii="Cambria" w:hAnsi="Cambria"/>
          <w:b/>
          <w:bCs/>
        </w:rPr>
        <w:t>r a post-singularity transition</w:t>
      </w:r>
    </w:p>
    <w:p w:rsidR="00F75FA1" w:rsidRPr="00F75FA1" w:rsidRDefault="00F75FA1" w:rsidP="009C082F">
      <w:pPr>
        <w:pStyle w:val="ListParagraph"/>
        <w:numPr>
          <w:ilvl w:val="0"/>
          <w:numId w:val="3"/>
        </w:numPr>
        <w:spacing w:after="0"/>
        <w:jc w:val="both"/>
        <w:rPr>
          <w:rFonts w:ascii="Cambria" w:hAnsi="Cambria"/>
          <w:bCs/>
        </w:rPr>
      </w:pPr>
      <w:r>
        <w:rPr>
          <w:rFonts w:ascii="Cambria" w:hAnsi="Cambria"/>
          <w:b/>
          <w:bCs/>
          <w:iCs/>
        </w:rPr>
        <w:t>Transparency</w:t>
      </w:r>
    </w:p>
    <w:p w:rsidR="00233C0A" w:rsidRPr="00770F05" w:rsidRDefault="00233C0A" w:rsidP="009C082F">
      <w:pPr>
        <w:pStyle w:val="ListParagraph"/>
        <w:spacing w:after="0"/>
        <w:ind w:left="0"/>
        <w:jc w:val="both"/>
        <w:rPr>
          <w:rFonts w:ascii="Cambria" w:hAnsi="Cambria"/>
          <w:bCs/>
        </w:rPr>
      </w:pPr>
      <w:r w:rsidRPr="00F75FA1">
        <w:rPr>
          <w:rFonts w:ascii="Cambria" w:hAnsi="Cambria"/>
          <w:bCs/>
        </w:rPr>
        <w:br/>
      </w:r>
      <w:r w:rsidRPr="00770F05">
        <w:rPr>
          <w:rFonts w:ascii="Cambria" w:hAnsi="Cambria"/>
          <w:bCs/>
        </w:rPr>
        <w:t>Pre- and post-singularity, transparency should prioritise explainability for affected stakeholders, model and data provenance, and traceable decision pipelines, while recognising necessary limits around dual-use risks and security (OECD, 2019/2024; UNESCO, 2021). Practically, this implies graduated disclosure: public impact reports and system cards; regulator-only access to sensitive evaluations; and immutable logs for audits (NIST, 2023).</w:t>
      </w:r>
    </w:p>
    <w:p w:rsidR="00233C0A" w:rsidRPr="00233C0A" w:rsidRDefault="00233C0A" w:rsidP="009C082F">
      <w:pPr>
        <w:spacing w:after="0"/>
        <w:jc w:val="both"/>
        <w:rPr>
          <w:rFonts w:ascii="Cambria" w:hAnsi="Cambria"/>
          <w:bCs/>
        </w:rPr>
      </w:pPr>
    </w:p>
    <w:p w:rsidR="00F75FA1" w:rsidRPr="00F75FA1" w:rsidRDefault="00233C0A" w:rsidP="009C082F">
      <w:pPr>
        <w:pStyle w:val="ListParagraph"/>
        <w:numPr>
          <w:ilvl w:val="0"/>
          <w:numId w:val="3"/>
        </w:numPr>
        <w:spacing w:after="0"/>
        <w:jc w:val="both"/>
        <w:rPr>
          <w:rFonts w:ascii="Cambria" w:hAnsi="Cambria"/>
          <w:bCs/>
        </w:rPr>
      </w:pPr>
      <w:r w:rsidRPr="00F75FA1">
        <w:rPr>
          <w:rFonts w:ascii="Cambria" w:hAnsi="Cambria"/>
          <w:b/>
          <w:bCs/>
          <w:iCs/>
        </w:rPr>
        <w:t>Safety</w:t>
      </w:r>
    </w:p>
    <w:p w:rsidR="00F75FA1" w:rsidRDefault="00233C0A" w:rsidP="009C082F">
      <w:pPr>
        <w:pStyle w:val="ListParagraph"/>
        <w:spacing w:after="0"/>
        <w:ind w:left="0"/>
        <w:jc w:val="both"/>
        <w:rPr>
          <w:rFonts w:ascii="Cambria" w:hAnsi="Cambria"/>
          <w:bCs/>
        </w:rPr>
      </w:pPr>
      <w:r w:rsidRPr="00F75FA1">
        <w:rPr>
          <w:rFonts w:ascii="Cambria" w:hAnsi="Cambria"/>
          <w:bCs/>
        </w:rPr>
        <w:br/>
        <w:t>Safety requires a layered approach: governance of risk technical assurance and operational controls (NIST, 2023). For frontier models, mandate pre-deployment safety cases, independent evaluations, and post-deployment monitoring with rapid rollback authority (EU AI Act materials, 2025).</w:t>
      </w:r>
    </w:p>
    <w:p w:rsidR="00770F05" w:rsidRDefault="00770F05" w:rsidP="009C082F">
      <w:pPr>
        <w:pStyle w:val="ListParagraph"/>
        <w:spacing w:after="0"/>
        <w:ind w:left="0"/>
        <w:jc w:val="both"/>
        <w:rPr>
          <w:rFonts w:ascii="Cambria" w:hAnsi="Cambria"/>
          <w:bCs/>
        </w:rPr>
      </w:pPr>
    </w:p>
    <w:p w:rsidR="00233C0A" w:rsidRPr="00F75FA1" w:rsidRDefault="00233C0A" w:rsidP="009C082F">
      <w:pPr>
        <w:pStyle w:val="ListParagraph"/>
        <w:numPr>
          <w:ilvl w:val="0"/>
          <w:numId w:val="3"/>
        </w:numPr>
        <w:spacing w:after="0"/>
        <w:jc w:val="both"/>
        <w:rPr>
          <w:rFonts w:ascii="Cambria" w:hAnsi="Cambria"/>
          <w:bCs/>
        </w:rPr>
      </w:pPr>
      <w:r w:rsidRPr="00F75FA1">
        <w:rPr>
          <w:rFonts w:ascii="Cambria" w:hAnsi="Cambria"/>
          <w:b/>
          <w:bCs/>
          <w:iCs/>
        </w:rPr>
        <w:t>Fair distribution of benefits</w:t>
      </w:r>
    </w:p>
    <w:p w:rsidR="00233C0A" w:rsidRPr="00233C0A" w:rsidRDefault="00233C0A" w:rsidP="009C082F">
      <w:pPr>
        <w:spacing w:after="0"/>
        <w:jc w:val="both"/>
        <w:rPr>
          <w:rFonts w:ascii="Cambria" w:hAnsi="Cambria"/>
          <w:bCs/>
        </w:rPr>
      </w:pPr>
      <w:r w:rsidRPr="00233C0A">
        <w:rPr>
          <w:rFonts w:ascii="Cambria" w:hAnsi="Cambria"/>
          <w:bCs/>
        </w:rPr>
        <w:br/>
        <w:t>Superintelligence could create unprecedented wealth and capability; ethical transition requires broad access to benefits</w:t>
      </w:r>
      <w:r>
        <w:rPr>
          <w:rFonts w:ascii="Cambria" w:hAnsi="Cambria"/>
          <w:bCs/>
        </w:rPr>
        <w:t xml:space="preserve"> </w:t>
      </w:r>
      <w:r w:rsidRPr="00233C0A">
        <w:rPr>
          <w:rFonts w:ascii="Cambria" w:hAnsi="Cambria"/>
          <w:bCs/>
        </w:rPr>
        <w:t>worker transition supports and global access mechanisms for low- and middle-income countries (OECD, 2019/2024; UNESCO, 2021). Structural tools include equitable compute funds, prize-based open research for safety-relevant science, and commitments to use frontier capa</w:t>
      </w:r>
      <w:r>
        <w:rPr>
          <w:rFonts w:ascii="Cambria" w:hAnsi="Cambria"/>
          <w:bCs/>
        </w:rPr>
        <w:t xml:space="preserve">bilities for global challenges for example </w:t>
      </w:r>
      <w:r w:rsidRPr="00233C0A">
        <w:rPr>
          <w:rFonts w:ascii="Cambria" w:hAnsi="Cambria"/>
          <w:bCs/>
        </w:rPr>
        <w:t>hea</w:t>
      </w:r>
      <w:r>
        <w:rPr>
          <w:rFonts w:ascii="Cambria" w:hAnsi="Cambria"/>
          <w:bCs/>
        </w:rPr>
        <w:t>lth, climate, disaster response</w:t>
      </w:r>
      <w:r w:rsidRPr="00233C0A">
        <w:rPr>
          <w:rFonts w:ascii="Cambria" w:hAnsi="Cambria"/>
          <w:bCs/>
        </w:rPr>
        <w:t xml:space="preserve"> with measurable access targets (Stanford HAI, 2025).</w:t>
      </w:r>
    </w:p>
    <w:p w:rsidR="00233C0A" w:rsidRPr="00233C0A" w:rsidRDefault="00233C0A" w:rsidP="009C082F">
      <w:pPr>
        <w:spacing w:after="0"/>
        <w:jc w:val="both"/>
        <w:rPr>
          <w:rFonts w:ascii="Cambria" w:hAnsi="Cambria"/>
          <w:bCs/>
        </w:rPr>
      </w:pPr>
    </w:p>
    <w:p w:rsidR="00233C0A" w:rsidRPr="00F75FA1" w:rsidRDefault="00233C0A" w:rsidP="009C082F">
      <w:pPr>
        <w:pStyle w:val="ListParagraph"/>
        <w:numPr>
          <w:ilvl w:val="0"/>
          <w:numId w:val="3"/>
        </w:numPr>
        <w:spacing w:after="0"/>
        <w:jc w:val="both"/>
        <w:rPr>
          <w:rFonts w:ascii="Cambria" w:hAnsi="Cambria"/>
          <w:b/>
          <w:bCs/>
          <w:iCs/>
        </w:rPr>
      </w:pPr>
      <w:r w:rsidRPr="00F75FA1">
        <w:rPr>
          <w:rFonts w:ascii="Cambria" w:hAnsi="Cambria"/>
          <w:b/>
          <w:bCs/>
          <w:iCs/>
        </w:rPr>
        <w:t>Alignment with human values</w:t>
      </w:r>
    </w:p>
    <w:p w:rsidR="00233C0A" w:rsidRDefault="00233C0A" w:rsidP="009C082F">
      <w:pPr>
        <w:spacing w:after="0"/>
        <w:jc w:val="both"/>
        <w:rPr>
          <w:rFonts w:ascii="Cambria" w:hAnsi="Cambria"/>
          <w:bCs/>
        </w:rPr>
      </w:pPr>
      <w:r w:rsidRPr="00233C0A">
        <w:rPr>
          <w:rFonts w:ascii="Cambria" w:hAnsi="Cambria"/>
          <w:bCs/>
        </w:rPr>
        <w:lastRenderedPageBreak/>
        <w:br/>
        <w:t>Adopt the assistance paradigm: systems are designed to be uncertain about objectives, continuously infer human preferences, and seek clarification under uncertainty (Russell, 2019). Embed constitutional constraints grounded in human rights frameworks (UNESCO, 2021), multi-objective optimisation that includes safety and fairness, and societal-scale oversight via representative governance and redress mechanisms. Invest in alignment research for example robustness, interpretability, reward modelling, scalable oversight and require alignment evaluations proportional to model capability (NIST, 2023; EU AI Act materials, 2025).</w:t>
      </w:r>
    </w:p>
    <w:p w:rsidR="00770F05" w:rsidRPr="00233C0A" w:rsidRDefault="00770F05" w:rsidP="009C082F">
      <w:pPr>
        <w:spacing w:after="0"/>
        <w:jc w:val="both"/>
        <w:rPr>
          <w:rFonts w:ascii="Cambria" w:hAnsi="Cambria"/>
          <w:bCs/>
        </w:rPr>
      </w:pPr>
    </w:p>
    <w:p w:rsidR="00233C0A" w:rsidRPr="00F75FA1" w:rsidRDefault="00233C0A" w:rsidP="009C082F">
      <w:pPr>
        <w:pStyle w:val="ListParagraph"/>
        <w:numPr>
          <w:ilvl w:val="0"/>
          <w:numId w:val="2"/>
        </w:numPr>
        <w:spacing w:after="0"/>
        <w:jc w:val="both"/>
        <w:rPr>
          <w:rFonts w:ascii="Cambria" w:hAnsi="Cambria"/>
          <w:b/>
          <w:bCs/>
        </w:rPr>
      </w:pPr>
      <w:r w:rsidRPr="00F75FA1">
        <w:rPr>
          <w:rFonts w:ascii="Cambria" w:hAnsi="Cambria"/>
          <w:b/>
          <w:bCs/>
        </w:rPr>
        <w:t>How society should prepare</w:t>
      </w:r>
    </w:p>
    <w:p w:rsidR="00233C0A" w:rsidRPr="00F75FA1" w:rsidRDefault="00233C0A" w:rsidP="009C082F">
      <w:pPr>
        <w:spacing w:after="0"/>
        <w:jc w:val="both"/>
        <w:rPr>
          <w:rFonts w:ascii="Cambria" w:hAnsi="Cambria"/>
          <w:bCs/>
        </w:rPr>
      </w:pPr>
      <w:r w:rsidRPr="00233C0A">
        <w:rPr>
          <w:rFonts w:ascii="Cambria" w:hAnsi="Cambria"/>
          <w:bCs/>
        </w:rPr>
        <w:br/>
      </w:r>
      <w:r w:rsidR="00F75FA1" w:rsidRPr="00F75FA1">
        <w:rPr>
          <w:rFonts w:ascii="Cambria" w:hAnsi="Cambria"/>
          <w:bCs/>
        </w:rPr>
        <w:t>Society should proactively prepare for the AI singularity by establishing robust frontier governance and safety standards through institutional frameworks, enhancing regulatory and scientific capacities such as national safety institutes and evaluation compute, and funding public-interest research on alignment and societal impacts (Stanford HAI, 2025; NIST, 2023). Education systems need to shift towards lifelong learning and adaptive social protections to cope with rapid changes in tasks and employment. International cooperation is essential, involving treaty-level agreements on compute concentration, incident reporting, and evaluation benchmarks, with mechanisms for capability “pauses” or deployment staging if risk indicators escalate beyond safe thresholds (OECD, 2019/2024; UNESCO, 2021).</w:t>
      </w:r>
    </w:p>
    <w:p w:rsidR="00233C0A" w:rsidRPr="00233C0A" w:rsidRDefault="00233C0A" w:rsidP="009C082F">
      <w:pPr>
        <w:spacing w:after="0"/>
        <w:jc w:val="both"/>
        <w:rPr>
          <w:rFonts w:ascii="Cambria" w:hAnsi="Cambria"/>
          <w:bCs/>
        </w:rPr>
      </w:pPr>
    </w:p>
    <w:p w:rsidR="00770F05" w:rsidRPr="00770F05" w:rsidRDefault="00233C0A" w:rsidP="009C082F">
      <w:pPr>
        <w:pStyle w:val="ListParagraph"/>
        <w:numPr>
          <w:ilvl w:val="0"/>
          <w:numId w:val="2"/>
        </w:numPr>
        <w:spacing w:after="0"/>
        <w:jc w:val="both"/>
        <w:rPr>
          <w:rFonts w:ascii="Cambria" w:hAnsi="Cambria"/>
          <w:b/>
          <w:bCs/>
        </w:rPr>
      </w:pPr>
      <w:r w:rsidRPr="00770F05">
        <w:rPr>
          <w:rFonts w:ascii="Cambria" w:hAnsi="Cambria"/>
          <w:b/>
          <w:bCs/>
        </w:rPr>
        <w:t>Who should govern</w:t>
      </w:r>
      <w:r w:rsidR="00770F05" w:rsidRPr="00770F05">
        <w:rPr>
          <w:rFonts w:ascii="Cambria" w:hAnsi="Cambria"/>
          <w:b/>
          <w:bCs/>
        </w:rPr>
        <w:t xml:space="preserve"> </w:t>
      </w:r>
      <w:r w:rsidRPr="00770F05">
        <w:rPr>
          <w:rFonts w:ascii="Cambria" w:hAnsi="Cambria"/>
          <w:b/>
          <w:bCs/>
        </w:rPr>
        <w:t>global or private?</w:t>
      </w:r>
    </w:p>
    <w:p w:rsidR="00233C0A" w:rsidRDefault="00770F05" w:rsidP="009C082F">
      <w:pPr>
        <w:pStyle w:val="ListParagraph"/>
        <w:spacing w:after="0"/>
        <w:ind w:left="0" w:firstLine="720"/>
        <w:jc w:val="both"/>
        <w:rPr>
          <w:rFonts w:ascii="Cambria" w:hAnsi="Cambria"/>
          <w:bCs/>
        </w:rPr>
      </w:pPr>
      <w:r w:rsidRPr="00770F05">
        <w:rPr>
          <w:rFonts w:ascii="Cambria" w:hAnsi="Cambria"/>
          <w:bCs/>
        </w:rPr>
        <w:t>The proposed hybrid governance model emphasizes that core governance should be globally public due to the systemic nature of externalities and cross-border risks, acknowledging that while private actors are vital for innovation and execution, they cannot lead the management of civilization-scale risks (EU AI Act materials, 2025; OECD, 2019/2024; UNESCO, 2021). It advocates for international frameworks establishing fundamental obligations, supported by national regulators enforcing risk-based rules akin to the EU AI Act’s tiered approach, and industry compliance through safety management systems, third-party evaluations, and liability regimes. This structure aims to balance fostering innovation with ensuring global safety, recognizing that effective governance requires a layered, collaborative approach blending public oversight with private sector accountability.</w:t>
      </w:r>
    </w:p>
    <w:p w:rsidR="009C082F" w:rsidRPr="00770F05" w:rsidRDefault="009C082F" w:rsidP="009C082F">
      <w:pPr>
        <w:pStyle w:val="ListParagraph"/>
        <w:spacing w:after="0"/>
        <w:ind w:left="0"/>
        <w:jc w:val="both"/>
        <w:rPr>
          <w:rFonts w:ascii="Cambria" w:hAnsi="Cambria"/>
          <w:bCs/>
        </w:rPr>
      </w:pPr>
    </w:p>
    <w:p w:rsidR="00770F05" w:rsidRPr="00770F05" w:rsidRDefault="00770F05" w:rsidP="009C082F">
      <w:pPr>
        <w:spacing w:after="0"/>
        <w:ind w:firstLine="720"/>
        <w:jc w:val="both"/>
        <w:rPr>
          <w:rFonts w:ascii="Cambria" w:hAnsi="Cambria"/>
          <w:bCs/>
        </w:rPr>
      </w:pPr>
      <w:r w:rsidRPr="00770F05">
        <w:rPr>
          <w:rFonts w:ascii="Cambria" w:hAnsi="Cambria"/>
          <w:bCs/>
        </w:rPr>
        <w:t>The operational guidelines emphasize responsible AI development through stringent licensing and thresholds requiring pre-deployment safety assessments, secure-by-design practices, and continuous monitoring, with alignment to human rights and transparent reporting. Deployment should follow staged rollouts with contingency measures, while benefit-sharing initiatives aim to promote public goods and equitable access. International coordination is crucial for standard harmonization, incident response, and restricting dangerous capabilities, ensuring AI advancements are safe, ethical, and globally aligned, supported by robust evaluation, auditability, and stakeholder engagement.</w:t>
      </w:r>
    </w:p>
    <w:p w:rsidR="00770F05" w:rsidRDefault="00770F05" w:rsidP="009C082F">
      <w:pPr>
        <w:spacing w:after="0"/>
        <w:jc w:val="both"/>
        <w:rPr>
          <w:rFonts w:ascii="Cambria" w:hAnsi="Cambria"/>
          <w:b/>
          <w:bCs/>
        </w:rPr>
      </w:pPr>
    </w:p>
    <w:p w:rsidR="00770F05" w:rsidRDefault="00770F05" w:rsidP="009C082F">
      <w:pPr>
        <w:spacing w:after="0"/>
        <w:jc w:val="both"/>
        <w:rPr>
          <w:rFonts w:ascii="Cambria" w:hAnsi="Cambria"/>
          <w:b/>
          <w:bCs/>
        </w:rPr>
      </w:pPr>
    </w:p>
    <w:p w:rsidR="009C082F" w:rsidRDefault="009C082F" w:rsidP="009C082F">
      <w:pPr>
        <w:spacing w:after="0"/>
        <w:jc w:val="both"/>
        <w:rPr>
          <w:rFonts w:ascii="Cambria" w:hAnsi="Cambria"/>
          <w:b/>
          <w:bCs/>
        </w:rPr>
      </w:pPr>
    </w:p>
    <w:p w:rsidR="009C082F" w:rsidRDefault="009C082F" w:rsidP="009C082F">
      <w:pPr>
        <w:spacing w:after="0"/>
        <w:jc w:val="both"/>
        <w:rPr>
          <w:rFonts w:ascii="Cambria" w:hAnsi="Cambria"/>
          <w:b/>
          <w:bCs/>
        </w:rPr>
      </w:pPr>
    </w:p>
    <w:p w:rsidR="009C082F" w:rsidRDefault="009C082F" w:rsidP="009C082F">
      <w:pPr>
        <w:spacing w:after="0"/>
        <w:jc w:val="both"/>
        <w:rPr>
          <w:rFonts w:ascii="Cambria" w:hAnsi="Cambria"/>
          <w:b/>
          <w:bCs/>
        </w:rPr>
      </w:pPr>
    </w:p>
    <w:p w:rsidR="009C082F" w:rsidRDefault="009C082F" w:rsidP="009C082F">
      <w:pPr>
        <w:spacing w:after="0"/>
        <w:jc w:val="both"/>
        <w:rPr>
          <w:rFonts w:ascii="Cambria" w:hAnsi="Cambria"/>
          <w:b/>
          <w:bCs/>
        </w:rPr>
      </w:pPr>
    </w:p>
    <w:p w:rsidR="009C082F" w:rsidRDefault="009C082F" w:rsidP="009C082F">
      <w:pPr>
        <w:spacing w:after="0"/>
        <w:jc w:val="both"/>
        <w:rPr>
          <w:rFonts w:ascii="Cambria" w:hAnsi="Cambria"/>
          <w:b/>
          <w:bCs/>
        </w:rPr>
      </w:pPr>
    </w:p>
    <w:p w:rsidR="009C082F" w:rsidRDefault="009C082F" w:rsidP="009C082F">
      <w:pPr>
        <w:spacing w:after="0"/>
        <w:jc w:val="both"/>
        <w:rPr>
          <w:rFonts w:ascii="Cambria" w:hAnsi="Cambria"/>
          <w:b/>
          <w:bCs/>
        </w:rPr>
      </w:pPr>
    </w:p>
    <w:p w:rsidR="00233C0A" w:rsidRPr="00233C0A" w:rsidRDefault="00233C0A" w:rsidP="009C082F">
      <w:pPr>
        <w:spacing w:after="0"/>
        <w:jc w:val="both"/>
        <w:rPr>
          <w:rFonts w:ascii="Cambria" w:hAnsi="Cambria"/>
          <w:b/>
          <w:bCs/>
          <w:sz w:val="28"/>
        </w:rPr>
      </w:pPr>
      <w:r w:rsidRPr="00233C0A">
        <w:rPr>
          <w:rFonts w:ascii="Cambria" w:hAnsi="Cambria"/>
          <w:b/>
          <w:bCs/>
          <w:sz w:val="28"/>
        </w:rPr>
        <w:lastRenderedPageBreak/>
        <w:t xml:space="preserve">References </w:t>
      </w:r>
    </w:p>
    <w:p w:rsidR="00233C0A" w:rsidRPr="00233C0A" w:rsidRDefault="00233C0A" w:rsidP="009C082F">
      <w:pPr>
        <w:spacing w:after="0"/>
        <w:ind w:left="720" w:hanging="720"/>
        <w:jc w:val="both"/>
        <w:rPr>
          <w:rFonts w:ascii="Cambria" w:hAnsi="Cambria"/>
          <w:bCs/>
        </w:rPr>
      </w:pPr>
      <w:r w:rsidRPr="00233C0A">
        <w:rPr>
          <w:rFonts w:ascii="Cambria" w:hAnsi="Cambria"/>
          <w:bCs/>
        </w:rPr>
        <w:t xml:space="preserve">Bostrom, N. (2014) </w:t>
      </w:r>
      <w:r w:rsidRPr="00233C0A">
        <w:rPr>
          <w:rFonts w:ascii="Cambria" w:hAnsi="Cambria"/>
          <w:bCs/>
          <w:i/>
          <w:iCs/>
        </w:rPr>
        <w:t>Superintelligence: Paths, Dangers, Strategies</w:t>
      </w:r>
      <w:r w:rsidRPr="00233C0A">
        <w:rPr>
          <w:rFonts w:ascii="Cambria" w:hAnsi="Cambria"/>
          <w:bCs/>
        </w:rPr>
        <w:t>. Oxford: Oxford University Press.</w:t>
      </w:r>
    </w:p>
    <w:p w:rsidR="00233C0A" w:rsidRPr="00233C0A" w:rsidRDefault="00233C0A" w:rsidP="009C082F">
      <w:pPr>
        <w:spacing w:after="0"/>
        <w:ind w:left="720" w:hanging="720"/>
        <w:jc w:val="both"/>
        <w:rPr>
          <w:rFonts w:ascii="Cambria" w:hAnsi="Cambria"/>
          <w:bCs/>
        </w:rPr>
      </w:pPr>
      <w:r w:rsidRPr="00233C0A">
        <w:rPr>
          <w:rFonts w:ascii="Cambria" w:hAnsi="Cambria"/>
          <w:bCs/>
        </w:rPr>
        <w:t xml:space="preserve">Bostrom, N. (n.d.) </w:t>
      </w:r>
      <w:proofErr w:type="gramStart"/>
      <w:r w:rsidRPr="00233C0A">
        <w:rPr>
          <w:rFonts w:ascii="Cambria" w:hAnsi="Cambria"/>
          <w:bCs/>
          <w:i/>
          <w:iCs/>
        </w:rPr>
        <w:t>How</w:t>
      </w:r>
      <w:proofErr w:type="gramEnd"/>
      <w:r w:rsidRPr="00233C0A">
        <w:rPr>
          <w:rFonts w:ascii="Cambria" w:hAnsi="Cambria"/>
          <w:bCs/>
          <w:i/>
          <w:iCs/>
        </w:rPr>
        <w:t xml:space="preserve"> long before superintelligence?</w:t>
      </w:r>
      <w:r w:rsidRPr="00233C0A">
        <w:rPr>
          <w:rFonts w:ascii="Cambria" w:hAnsi="Cambria"/>
          <w:bCs/>
        </w:rPr>
        <w:t xml:space="preserve"> Available at: </w:t>
      </w:r>
      <w:hyperlink r:id="rId6" w:history="1">
        <w:r w:rsidRPr="00926A40">
          <w:rPr>
            <w:rStyle w:val="Hyperlink"/>
            <w:rFonts w:ascii="Cambria" w:hAnsi="Cambria"/>
            <w:bCs/>
          </w:rPr>
          <w:t>https://nickbostrom.com/superintelligence</w:t>
        </w:r>
      </w:hyperlink>
      <w:r>
        <w:rPr>
          <w:rFonts w:ascii="Cambria" w:hAnsi="Cambria"/>
          <w:bCs/>
        </w:rPr>
        <w:t xml:space="preserve">. </w:t>
      </w:r>
    </w:p>
    <w:p w:rsidR="00233C0A" w:rsidRPr="00233C0A" w:rsidRDefault="00233C0A" w:rsidP="009C082F">
      <w:pPr>
        <w:spacing w:after="0"/>
        <w:ind w:left="720" w:hanging="720"/>
        <w:jc w:val="both"/>
        <w:rPr>
          <w:rFonts w:ascii="Cambria" w:hAnsi="Cambria"/>
          <w:bCs/>
        </w:rPr>
      </w:pPr>
      <w:r w:rsidRPr="00233C0A">
        <w:rPr>
          <w:rFonts w:ascii="Cambria" w:hAnsi="Cambria"/>
          <w:bCs/>
        </w:rPr>
        <w:t xml:space="preserve">European Union (2025) </w:t>
      </w:r>
      <w:r w:rsidRPr="00233C0A">
        <w:rPr>
          <w:rFonts w:ascii="Cambria" w:hAnsi="Cambria"/>
          <w:bCs/>
          <w:i/>
          <w:iCs/>
        </w:rPr>
        <w:t>EU AI Act: first regulation on artificial intelligence</w:t>
      </w:r>
      <w:r w:rsidRPr="00233C0A">
        <w:rPr>
          <w:rFonts w:ascii="Cambria" w:hAnsi="Cambria"/>
          <w:bCs/>
        </w:rPr>
        <w:t xml:space="preserve">. European Parliament. Available at: </w:t>
      </w:r>
      <w:hyperlink r:id="rId7" w:history="1">
        <w:r w:rsidRPr="00926A40">
          <w:rPr>
            <w:rStyle w:val="Hyperlink"/>
            <w:rFonts w:ascii="Cambria" w:hAnsi="Cambria"/>
            <w:bCs/>
          </w:rPr>
          <w:t>https://www.europarl.europa.eu/topics/en/article/20230601STO93804/eu-ai-act-first-regulation-on-artificial-intelligence</w:t>
        </w:r>
      </w:hyperlink>
      <w:r>
        <w:rPr>
          <w:rFonts w:ascii="Cambria" w:hAnsi="Cambria"/>
          <w:bCs/>
        </w:rPr>
        <w:t xml:space="preserve">.  </w:t>
      </w:r>
    </w:p>
    <w:p w:rsidR="00233C0A" w:rsidRPr="00233C0A" w:rsidRDefault="00233C0A" w:rsidP="009C082F">
      <w:pPr>
        <w:spacing w:after="0"/>
        <w:ind w:left="720" w:hanging="720"/>
        <w:jc w:val="both"/>
        <w:rPr>
          <w:rFonts w:ascii="Cambria" w:hAnsi="Cambria"/>
          <w:bCs/>
        </w:rPr>
      </w:pPr>
      <w:r w:rsidRPr="00233C0A">
        <w:rPr>
          <w:rFonts w:ascii="Cambria" w:hAnsi="Cambria"/>
          <w:bCs/>
        </w:rPr>
        <w:t xml:space="preserve">NIST (2023) </w:t>
      </w:r>
      <w:r w:rsidRPr="00233C0A">
        <w:rPr>
          <w:rFonts w:ascii="Cambria" w:hAnsi="Cambria"/>
          <w:bCs/>
          <w:i/>
          <w:iCs/>
        </w:rPr>
        <w:t>Artificial Intelligence Risk Management Framework (AI RMF 1.0)</w:t>
      </w:r>
      <w:r w:rsidRPr="00233C0A">
        <w:rPr>
          <w:rFonts w:ascii="Cambria" w:hAnsi="Cambria"/>
          <w:bCs/>
        </w:rPr>
        <w:t xml:space="preserve">. Gaithersburg, MD: National Institute of Standards and Technology. Available at: </w:t>
      </w:r>
      <w:hyperlink r:id="rId8" w:history="1">
        <w:r w:rsidRPr="00926A40">
          <w:rPr>
            <w:rStyle w:val="Hyperlink"/>
            <w:rFonts w:ascii="Cambria" w:hAnsi="Cambria"/>
            <w:bCs/>
          </w:rPr>
          <w:t>https://nvlpubs.nist.gov/nistpubs/ai/nist.ai.100-1.pdf</w:t>
        </w:r>
      </w:hyperlink>
      <w:r>
        <w:rPr>
          <w:rFonts w:ascii="Cambria" w:hAnsi="Cambria"/>
          <w:bCs/>
        </w:rPr>
        <w:t xml:space="preserve">. </w:t>
      </w:r>
    </w:p>
    <w:p w:rsidR="00233C0A" w:rsidRPr="00233C0A" w:rsidRDefault="00233C0A" w:rsidP="009C082F">
      <w:pPr>
        <w:spacing w:after="0"/>
        <w:ind w:left="720" w:hanging="720"/>
        <w:jc w:val="both"/>
        <w:rPr>
          <w:rFonts w:ascii="Cambria" w:hAnsi="Cambria"/>
          <w:bCs/>
        </w:rPr>
      </w:pPr>
      <w:r w:rsidRPr="00233C0A">
        <w:rPr>
          <w:rFonts w:ascii="Cambria" w:hAnsi="Cambria"/>
          <w:bCs/>
        </w:rPr>
        <w:t xml:space="preserve">OECD (2019; updated 2024) </w:t>
      </w:r>
      <w:r w:rsidRPr="00233C0A">
        <w:rPr>
          <w:rFonts w:ascii="Cambria" w:hAnsi="Cambria"/>
          <w:bCs/>
          <w:i/>
          <w:iCs/>
        </w:rPr>
        <w:t>OECD AI Principles</w:t>
      </w:r>
      <w:r w:rsidRPr="00233C0A">
        <w:rPr>
          <w:rFonts w:ascii="Cambria" w:hAnsi="Cambria"/>
          <w:bCs/>
        </w:rPr>
        <w:t xml:space="preserve">. Paris: Organisation for Economic Co-operation and Development. Available at: </w:t>
      </w:r>
      <w:hyperlink r:id="rId9" w:history="1">
        <w:r w:rsidRPr="00926A40">
          <w:rPr>
            <w:rStyle w:val="Hyperlink"/>
            <w:rFonts w:ascii="Cambria" w:hAnsi="Cambria"/>
            <w:bCs/>
          </w:rPr>
          <w:t>https://oecd.ai/en/ai-principles</w:t>
        </w:r>
      </w:hyperlink>
      <w:r>
        <w:rPr>
          <w:rFonts w:ascii="Cambria" w:hAnsi="Cambria"/>
          <w:bCs/>
        </w:rPr>
        <w:t xml:space="preserve">. </w:t>
      </w:r>
    </w:p>
    <w:p w:rsidR="00233C0A" w:rsidRPr="00233C0A" w:rsidRDefault="00233C0A" w:rsidP="009C082F">
      <w:pPr>
        <w:spacing w:after="0"/>
        <w:ind w:left="720" w:hanging="720"/>
        <w:jc w:val="both"/>
        <w:rPr>
          <w:rFonts w:ascii="Cambria" w:hAnsi="Cambria"/>
          <w:bCs/>
        </w:rPr>
      </w:pPr>
      <w:r w:rsidRPr="00233C0A">
        <w:rPr>
          <w:rFonts w:ascii="Cambria" w:hAnsi="Cambria"/>
          <w:bCs/>
        </w:rPr>
        <w:t xml:space="preserve">Stanford HAI (2025) </w:t>
      </w:r>
      <w:r w:rsidRPr="00233C0A">
        <w:rPr>
          <w:rFonts w:ascii="Cambria" w:hAnsi="Cambria"/>
          <w:bCs/>
          <w:i/>
          <w:iCs/>
        </w:rPr>
        <w:t>AI Index 2025 – Policy Highlights</w:t>
      </w:r>
      <w:r w:rsidRPr="00233C0A">
        <w:rPr>
          <w:rFonts w:ascii="Cambria" w:hAnsi="Cambria"/>
          <w:bCs/>
        </w:rPr>
        <w:t xml:space="preserve">. Available at: </w:t>
      </w:r>
      <w:hyperlink r:id="rId10" w:history="1">
        <w:r w:rsidRPr="00926A40">
          <w:rPr>
            <w:rStyle w:val="Hyperlink"/>
            <w:rFonts w:ascii="Cambria" w:hAnsi="Cambria"/>
            <w:bCs/>
          </w:rPr>
          <w:t>https://hai.stanford.edu/ai-index/2025-ai-index-report</w:t>
        </w:r>
      </w:hyperlink>
      <w:r>
        <w:rPr>
          <w:rFonts w:ascii="Cambria" w:hAnsi="Cambria"/>
          <w:bCs/>
        </w:rPr>
        <w:t xml:space="preserve">. </w:t>
      </w:r>
    </w:p>
    <w:p w:rsidR="00233C0A" w:rsidRPr="00233C0A" w:rsidRDefault="00233C0A" w:rsidP="009C082F">
      <w:pPr>
        <w:spacing w:after="0"/>
        <w:ind w:left="720" w:hanging="720"/>
        <w:jc w:val="both"/>
        <w:rPr>
          <w:rFonts w:ascii="Cambria" w:hAnsi="Cambria"/>
          <w:bCs/>
        </w:rPr>
      </w:pPr>
      <w:r w:rsidRPr="00233C0A">
        <w:rPr>
          <w:rFonts w:ascii="Cambria" w:hAnsi="Cambria"/>
          <w:bCs/>
        </w:rPr>
        <w:t xml:space="preserve">UNESCO (2021) </w:t>
      </w:r>
      <w:r w:rsidRPr="00233C0A">
        <w:rPr>
          <w:rFonts w:ascii="Cambria" w:hAnsi="Cambria"/>
          <w:bCs/>
          <w:i/>
          <w:iCs/>
        </w:rPr>
        <w:t>Recommendation on the Ethics of Artificial Intelligence</w:t>
      </w:r>
      <w:r w:rsidRPr="00233C0A">
        <w:rPr>
          <w:rFonts w:ascii="Cambria" w:hAnsi="Cambria"/>
          <w:bCs/>
        </w:rPr>
        <w:t xml:space="preserve">. Paris: UNESCO. Available at: </w:t>
      </w:r>
      <w:hyperlink r:id="rId11" w:tgtFrame="_new" w:history="1">
        <w:r w:rsidRPr="00233C0A">
          <w:rPr>
            <w:rStyle w:val="Hyperlink"/>
            <w:rFonts w:ascii="Cambria" w:hAnsi="Cambria"/>
            <w:bCs/>
          </w:rPr>
          <w:t>https://www.unesco.org/en/artificial-intelligence/recommendation-ethics</w:t>
        </w:r>
      </w:hyperlink>
      <w:r>
        <w:rPr>
          <w:rFonts w:ascii="Cambria" w:hAnsi="Cambria"/>
          <w:bCs/>
        </w:rPr>
        <w:t>.</w:t>
      </w:r>
    </w:p>
    <w:p w:rsidR="00233C0A" w:rsidRPr="00233C0A" w:rsidRDefault="00233C0A" w:rsidP="009C082F">
      <w:pPr>
        <w:spacing w:after="0"/>
        <w:ind w:left="720" w:hanging="720"/>
        <w:jc w:val="both"/>
        <w:rPr>
          <w:rFonts w:ascii="Cambria" w:hAnsi="Cambria"/>
          <w:bCs/>
        </w:rPr>
      </w:pPr>
      <w:r w:rsidRPr="00233C0A">
        <w:rPr>
          <w:rFonts w:ascii="Cambria" w:hAnsi="Cambria"/>
          <w:bCs/>
        </w:rPr>
        <w:t xml:space="preserve">Kurzweil, R. (2005) </w:t>
      </w:r>
      <w:proofErr w:type="gramStart"/>
      <w:r w:rsidRPr="00233C0A">
        <w:rPr>
          <w:rFonts w:ascii="Cambria" w:hAnsi="Cambria"/>
          <w:bCs/>
          <w:i/>
          <w:iCs/>
        </w:rPr>
        <w:t>The</w:t>
      </w:r>
      <w:proofErr w:type="gramEnd"/>
      <w:r w:rsidRPr="00233C0A">
        <w:rPr>
          <w:rFonts w:ascii="Cambria" w:hAnsi="Cambria"/>
          <w:bCs/>
          <w:i/>
          <w:iCs/>
        </w:rPr>
        <w:t xml:space="preserve"> Singularity Is Near</w:t>
      </w:r>
      <w:r w:rsidRPr="00233C0A">
        <w:rPr>
          <w:rFonts w:ascii="Cambria" w:hAnsi="Cambria"/>
          <w:bCs/>
        </w:rPr>
        <w:t>. New York: Viking. (For an accessible summary, see: ‘The Singularity Is Near’ Wikipedia</w:t>
      </w:r>
      <w:r>
        <w:rPr>
          <w:rFonts w:ascii="Cambria" w:hAnsi="Cambria"/>
          <w:bCs/>
        </w:rPr>
        <w:t xml:space="preserve"> page, accessed 19 August 2025.</w:t>
      </w:r>
    </w:p>
    <w:p w:rsidR="00233C0A" w:rsidRPr="00233C0A" w:rsidRDefault="00233C0A" w:rsidP="009C082F">
      <w:pPr>
        <w:spacing w:after="0"/>
        <w:ind w:left="720" w:hanging="720"/>
        <w:jc w:val="both"/>
        <w:rPr>
          <w:rFonts w:ascii="Cambria" w:hAnsi="Cambria"/>
          <w:bCs/>
        </w:rPr>
      </w:pPr>
      <w:r w:rsidRPr="00233C0A">
        <w:rPr>
          <w:rFonts w:ascii="Cambria" w:hAnsi="Cambria"/>
          <w:bCs/>
        </w:rPr>
        <w:t xml:space="preserve">Wikipedia (2025) </w:t>
      </w:r>
      <w:r w:rsidRPr="00233C0A">
        <w:rPr>
          <w:rFonts w:ascii="Cambria" w:hAnsi="Cambria"/>
          <w:bCs/>
          <w:i/>
          <w:iCs/>
        </w:rPr>
        <w:t>Technological singularity</w:t>
      </w:r>
      <w:r w:rsidRPr="00233C0A">
        <w:rPr>
          <w:rFonts w:ascii="Cambria" w:hAnsi="Cambria"/>
          <w:bCs/>
        </w:rPr>
        <w:t xml:space="preserve">. Available at: </w:t>
      </w:r>
      <w:hyperlink r:id="rId12" w:history="1">
        <w:r w:rsidRPr="00926A40">
          <w:rPr>
            <w:rStyle w:val="Hyperlink"/>
            <w:rFonts w:ascii="Cambria" w:hAnsi="Cambria"/>
            <w:bCs/>
          </w:rPr>
          <w:t>https://en.wikipedia.org/wiki/Technological_singularity</w:t>
        </w:r>
      </w:hyperlink>
      <w:r>
        <w:rPr>
          <w:rFonts w:ascii="Cambria" w:hAnsi="Cambria"/>
          <w:bCs/>
        </w:rPr>
        <w:t xml:space="preserve">. </w:t>
      </w:r>
    </w:p>
    <w:p w:rsidR="00233C0A" w:rsidRPr="00233C0A" w:rsidRDefault="00233C0A" w:rsidP="009C082F">
      <w:pPr>
        <w:spacing w:after="0"/>
        <w:ind w:left="720" w:hanging="720"/>
        <w:jc w:val="both"/>
        <w:rPr>
          <w:rFonts w:ascii="Cambria" w:hAnsi="Cambria"/>
          <w:bCs/>
        </w:rPr>
      </w:pPr>
      <w:r w:rsidRPr="00233C0A">
        <w:rPr>
          <w:rFonts w:ascii="Cambria" w:hAnsi="Cambria"/>
          <w:bCs/>
        </w:rPr>
        <w:t xml:space="preserve">Russell, S. (2019) </w:t>
      </w:r>
      <w:r w:rsidRPr="00233C0A">
        <w:rPr>
          <w:rFonts w:ascii="Cambria" w:hAnsi="Cambria"/>
          <w:bCs/>
          <w:i/>
          <w:iCs/>
        </w:rPr>
        <w:t>Human Compatible: Artificial Intelligence and the Problem of Control</w:t>
      </w:r>
      <w:r w:rsidRPr="00233C0A">
        <w:rPr>
          <w:rFonts w:ascii="Cambria" w:hAnsi="Cambria"/>
          <w:bCs/>
        </w:rPr>
        <w:t xml:space="preserve">. New York: Viking. </w:t>
      </w:r>
    </w:p>
    <w:p w:rsidR="00233C0A" w:rsidRPr="00233C0A" w:rsidRDefault="00233C0A" w:rsidP="009C082F">
      <w:pPr>
        <w:spacing w:after="0"/>
        <w:ind w:left="720" w:hanging="720"/>
        <w:jc w:val="both"/>
        <w:rPr>
          <w:rFonts w:ascii="Cambria" w:hAnsi="Cambria"/>
          <w:bCs/>
        </w:rPr>
      </w:pPr>
      <w:r w:rsidRPr="00233C0A">
        <w:rPr>
          <w:rFonts w:ascii="Cambria" w:hAnsi="Cambria"/>
          <w:bCs/>
        </w:rPr>
        <w:t xml:space="preserve">The Guardian (2024) </w:t>
      </w:r>
      <w:r w:rsidRPr="00233C0A">
        <w:rPr>
          <w:rFonts w:ascii="Cambria" w:hAnsi="Cambria"/>
          <w:bCs/>
          <w:i/>
          <w:iCs/>
        </w:rPr>
        <w:t>Ray Kurzweil: The Singularity is nearer</w:t>
      </w:r>
      <w:r w:rsidRPr="00233C0A">
        <w:rPr>
          <w:rFonts w:ascii="Cambria" w:hAnsi="Cambria"/>
          <w:bCs/>
        </w:rPr>
        <w:t xml:space="preserve">. Available at: </w:t>
      </w:r>
      <w:hyperlink r:id="rId13" w:tgtFrame="_new" w:history="1">
        <w:r w:rsidRPr="00233C0A">
          <w:rPr>
            <w:rStyle w:val="Hyperlink"/>
            <w:rFonts w:ascii="Cambria" w:hAnsi="Cambria"/>
            <w:bCs/>
          </w:rPr>
          <w:t>https://www.theguardian.com/technology/article/2024/jun/29/ray-kurzweil-google-ai-the-singularity-is-nearer</w:t>
        </w:r>
      </w:hyperlink>
      <w:r>
        <w:rPr>
          <w:rFonts w:ascii="Cambria" w:hAnsi="Cambria"/>
          <w:bCs/>
        </w:rPr>
        <w:t>.</w:t>
      </w:r>
      <w:r w:rsidRPr="00233C0A">
        <w:rPr>
          <w:rFonts w:ascii="Cambria" w:hAnsi="Cambria"/>
          <w:bCs/>
        </w:rPr>
        <w:t xml:space="preserve"> </w:t>
      </w:r>
    </w:p>
    <w:p w:rsidR="00CE2464" w:rsidRPr="001C737D" w:rsidRDefault="00CE2464" w:rsidP="009C082F">
      <w:pPr>
        <w:spacing w:after="0"/>
        <w:jc w:val="both"/>
        <w:rPr>
          <w:rFonts w:ascii="Cambria" w:hAnsi="Cambria"/>
        </w:rPr>
      </w:pPr>
    </w:p>
    <w:sectPr w:rsidR="00CE2464" w:rsidRPr="001C7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468CA"/>
    <w:multiLevelType w:val="hybridMultilevel"/>
    <w:tmpl w:val="085895E2"/>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B3C0139"/>
    <w:multiLevelType w:val="hybridMultilevel"/>
    <w:tmpl w:val="3C28424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DB449F5"/>
    <w:multiLevelType w:val="hybridMultilevel"/>
    <w:tmpl w:val="EB32674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0F1571B"/>
    <w:multiLevelType w:val="multilevel"/>
    <w:tmpl w:val="F098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90"/>
    <w:rsid w:val="001C737D"/>
    <w:rsid w:val="00233C0A"/>
    <w:rsid w:val="003C1F90"/>
    <w:rsid w:val="005C11FF"/>
    <w:rsid w:val="00611DD1"/>
    <w:rsid w:val="00770F05"/>
    <w:rsid w:val="009852D3"/>
    <w:rsid w:val="009C082F"/>
    <w:rsid w:val="00C01660"/>
    <w:rsid w:val="00CE2464"/>
    <w:rsid w:val="00F75FA1"/>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3616"/>
  <w15:chartTrackingRefBased/>
  <w15:docId w15:val="{16BAA6B2-A665-4351-8046-F0D56685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F90"/>
    <w:rPr>
      <w:color w:val="0563C1" w:themeColor="hyperlink"/>
      <w:u w:val="single"/>
    </w:rPr>
  </w:style>
  <w:style w:type="paragraph" w:styleId="ListParagraph">
    <w:name w:val="List Paragraph"/>
    <w:basedOn w:val="Normal"/>
    <w:uiPriority w:val="34"/>
    <w:qFormat/>
    <w:rsid w:val="00F75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7727">
      <w:bodyDiv w:val="1"/>
      <w:marLeft w:val="0"/>
      <w:marRight w:val="0"/>
      <w:marTop w:val="0"/>
      <w:marBottom w:val="0"/>
      <w:divBdr>
        <w:top w:val="none" w:sz="0" w:space="0" w:color="auto"/>
        <w:left w:val="none" w:sz="0" w:space="0" w:color="auto"/>
        <w:bottom w:val="none" w:sz="0" w:space="0" w:color="auto"/>
        <w:right w:val="none" w:sz="0" w:space="0" w:color="auto"/>
      </w:divBdr>
    </w:div>
    <w:div w:id="493256115">
      <w:bodyDiv w:val="1"/>
      <w:marLeft w:val="0"/>
      <w:marRight w:val="0"/>
      <w:marTop w:val="0"/>
      <w:marBottom w:val="0"/>
      <w:divBdr>
        <w:top w:val="none" w:sz="0" w:space="0" w:color="auto"/>
        <w:left w:val="none" w:sz="0" w:space="0" w:color="auto"/>
        <w:bottom w:val="none" w:sz="0" w:space="0" w:color="auto"/>
        <w:right w:val="none" w:sz="0" w:space="0" w:color="auto"/>
      </w:divBdr>
    </w:div>
    <w:div w:id="654333735">
      <w:bodyDiv w:val="1"/>
      <w:marLeft w:val="0"/>
      <w:marRight w:val="0"/>
      <w:marTop w:val="0"/>
      <w:marBottom w:val="0"/>
      <w:divBdr>
        <w:top w:val="none" w:sz="0" w:space="0" w:color="auto"/>
        <w:left w:val="none" w:sz="0" w:space="0" w:color="auto"/>
        <w:bottom w:val="none" w:sz="0" w:space="0" w:color="auto"/>
        <w:right w:val="none" w:sz="0" w:space="0" w:color="auto"/>
      </w:divBdr>
    </w:div>
    <w:div w:id="1513647250">
      <w:bodyDiv w:val="1"/>
      <w:marLeft w:val="0"/>
      <w:marRight w:val="0"/>
      <w:marTop w:val="0"/>
      <w:marBottom w:val="0"/>
      <w:divBdr>
        <w:top w:val="none" w:sz="0" w:space="0" w:color="auto"/>
        <w:left w:val="none" w:sz="0" w:space="0" w:color="auto"/>
        <w:bottom w:val="none" w:sz="0" w:space="0" w:color="auto"/>
        <w:right w:val="none" w:sz="0" w:space="0" w:color="auto"/>
      </w:divBdr>
    </w:div>
    <w:div w:id="1807889172">
      <w:bodyDiv w:val="1"/>
      <w:marLeft w:val="0"/>
      <w:marRight w:val="0"/>
      <w:marTop w:val="0"/>
      <w:marBottom w:val="0"/>
      <w:divBdr>
        <w:top w:val="none" w:sz="0" w:space="0" w:color="auto"/>
        <w:left w:val="none" w:sz="0" w:space="0" w:color="auto"/>
        <w:bottom w:val="none" w:sz="0" w:space="0" w:color="auto"/>
        <w:right w:val="none" w:sz="0" w:space="0" w:color="auto"/>
      </w:divBdr>
    </w:div>
    <w:div w:id="197421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ai/nist.ai.100-1.pdf" TargetMode="External"/><Relationship Id="rId13" Type="http://schemas.openxmlformats.org/officeDocument/2006/relationships/hyperlink" Target="https://www.theguardian.com/technology/article/2024/jun/29/ray-kurzweil-google-ai-the-singularity-is-nearer" TargetMode="External"/><Relationship Id="rId3" Type="http://schemas.openxmlformats.org/officeDocument/2006/relationships/settings" Target="settings.xml"/><Relationship Id="rId7" Type="http://schemas.openxmlformats.org/officeDocument/2006/relationships/hyperlink" Target="https://www.europarl.europa.eu/topics/en/article/20230601STO93804/eu-ai-act-first-regulation-on-artificial-intelligence" TargetMode="External"/><Relationship Id="rId12" Type="http://schemas.openxmlformats.org/officeDocument/2006/relationships/hyperlink" Target="https://en.wikipedia.org/wiki/Technological_singul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ckbostrom.com/superintelligence" TargetMode="External"/><Relationship Id="rId11" Type="http://schemas.openxmlformats.org/officeDocument/2006/relationships/hyperlink" Target="https://www.unesco.org/en/artificial-intelligence/recommendation-ethic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hai.stanford.edu/ai-index/2025-ai-index-report" TargetMode="External"/><Relationship Id="rId4" Type="http://schemas.openxmlformats.org/officeDocument/2006/relationships/webSettings" Target="webSettings.xml"/><Relationship Id="rId9" Type="http://schemas.openxmlformats.org/officeDocument/2006/relationships/hyperlink" Target="https://oecd.ai/en/ai-princi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Yolisa Qadi</dc:creator>
  <cp:keywords/>
  <dc:description/>
  <cp:lastModifiedBy>Yolisa Qadi</cp:lastModifiedBy>
  <cp:revision>3</cp:revision>
  <dcterms:created xsi:type="dcterms:W3CDTF">2025-08-19T00:29:00Z</dcterms:created>
  <dcterms:modified xsi:type="dcterms:W3CDTF">2025-08-19T00:30:00Z</dcterms:modified>
</cp:coreProperties>
</file>