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B57B1">
      <w:pPr>
        <w:pStyle w:val="15"/>
        <w:jc w:val="left"/>
        <w:rPr>
          <w:color w:val="000000"/>
        </w:rPr>
      </w:pPr>
      <w:r>
        <w:rPr>
          <w:rFonts w:hint="eastAsia"/>
          <w:color w:val="000000"/>
          <w:lang w:val="en-US" w:eastAsia="zh-CN"/>
        </w:rPr>
        <w:t>·</w:t>
      </w:r>
      <w:r>
        <w:rPr>
          <w:rFonts w:hint="eastAsia"/>
          <w:color w:val="000000"/>
          <w:lang w:val="en-US" w:eastAsia="zh-CN"/>
        </w:rPr>
        <w:tab/>
      </w:r>
    </w:p>
    <w:p w14:paraId="5574F31F">
      <w:pPr>
        <w:pStyle w:val="3"/>
        <w:rPr>
          <w:color w:val="000000"/>
        </w:rPr>
      </w:pPr>
    </w:p>
    <w:p w14:paraId="0CB013A5">
      <w:pPr>
        <w:pStyle w:val="3"/>
        <w:rPr>
          <w:color w:val="000000"/>
        </w:rPr>
      </w:pPr>
      <w:bookmarkStart w:id="0" w:name="_GoBack"/>
      <w:bookmarkEnd w:id="0"/>
      <w:r>
        <w:rPr>
          <w:color w:val="000000"/>
        </w:rPr>
        <w:t>示例：</w:t>
      </w:r>
      <w:r>
        <w:rPr>
          <w:color w:val="000000"/>
          <w:sz w:val="19"/>
          <w:szCs w:val="19"/>
        </w:rPr>
        <w:t>短线盘面情绪复盘智能体</w:t>
      </w:r>
    </w:p>
    <w:p w14:paraId="59EE5B76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智能体基本信息</w:t>
      </w:r>
    </w:p>
    <w:p w14:paraId="28379263">
      <w:pPr>
        <w:numPr>
          <w:ilvl w:val="0"/>
          <w:numId w:val="2"/>
        </w:numPr>
        <w:rPr>
          <w:color w:val="000000"/>
        </w:rPr>
      </w:pPr>
      <w:r>
        <w:rPr>
          <w:b/>
          <w:color w:val="000000"/>
        </w:rPr>
        <w:t>智能体名称</w:t>
      </w:r>
      <w:r>
        <w:rPr>
          <w:color w:val="000000"/>
        </w:rPr>
        <w:t>：</w:t>
      </w:r>
      <w:r>
        <w:rPr>
          <w:color w:val="A6A6A6" w:themeColor="background1" w:themeShade="A6"/>
        </w:rPr>
        <w:t>市场热点专题解读</w:t>
      </w:r>
    </w:p>
    <w:p w14:paraId="76F7B59B">
      <w:pPr>
        <w:numPr>
          <w:ilvl w:val="0"/>
          <w:numId w:val="2"/>
        </w:numPr>
        <w:rPr>
          <w:color w:val="000000"/>
        </w:rPr>
      </w:pPr>
      <w:r>
        <w:rPr>
          <w:b/>
          <w:color w:val="000000"/>
        </w:rPr>
        <w:t>需求提出部门 / 负责人</w:t>
      </w:r>
      <w:r>
        <w:rPr>
          <w:color w:val="000000"/>
        </w:rPr>
        <w:t>：</w:t>
      </w:r>
      <w:r>
        <w:rPr>
          <w:color w:val="A6A6A6" w:themeColor="background1" w:themeShade="A6"/>
        </w:rPr>
        <w:t>投研中心 / 张三</w:t>
      </w:r>
    </w:p>
    <w:p w14:paraId="29CD5BE4">
      <w:pPr>
        <w:numPr>
          <w:ilvl w:val="0"/>
          <w:numId w:val="2"/>
        </w:numPr>
        <w:rPr>
          <w:color w:val="000000"/>
        </w:rPr>
      </w:pPr>
      <w:r>
        <w:rPr>
          <w:b/>
          <w:color w:val="000000"/>
        </w:rPr>
        <w:t>使用对象</w:t>
      </w:r>
      <w:r>
        <w:rPr>
          <w:color w:val="000000"/>
        </w:rPr>
        <w:t>：</w:t>
      </w:r>
      <w:r>
        <w:rPr>
          <w:color w:val="A6A6A6" w:themeColor="background1" w:themeShade="A6"/>
        </w:rPr>
        <w:t>投研人员、内容运营人员</w:t>
      </w:r>
    </w:p>
    <w:p w14:paraId="467298FF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核心需求描述（一句话）</w:t>
      </w:r>
    </w:p>
    <w:p w14:paraId="61B93373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在市场出现讨论度较高的重大事件时，帮助投研人员快速理解事件背景及其对市场可能产生的影响</w:t>
      </w:r>
    </w:p>
    <w:p w14:paraId="18F7AF6D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使用场景说明</w:t>
      </w:r>
    </w:p>
    <w:p w14:paraId="7111AA9B">
      <w:pPr>
        <w:rPr>
          <w:color w:val="000000"/>
        </w:rPr>
      </w:pPr>
    </w:p>
    <w:p w14:paraId="4DCAFD7C">
      <w:pPr>
        <w:pStyle w:val="5"/>
        <w:rPr>
          <w:color w:val="000000"/>
        </w:rPr>
      </w:pPr>
      <w:r>
        <w:rPr>
          <w:color w:val="000000"/>
        </w:rPr>
        <w:t>3.1 场景描述</w:t>
      </w:r>
    </w:p>
    <w:p w14:paraId="7F6B5D94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当市场出现政策、行业或宏观层面的重要事件时，投研人员需要在较短时间内判断该事件是否值得持续跟踪，并向内部同步初步影响逻辑。</w:t>
      </w:r>
    </w:p>
    <w:p w14:paraId="54F1E74F">
      <w:pPr>
        <w:rPr>
          <w:color w:val="000000"/>
        </w:rPr>
      </w:pPr>
    </w:p>
    <w:p w14:paraId="5F4394F1">
      <w:pPr>
        <w:pStyle w:val="5"/>
        <w:rPr>
          <w:color w:val="000000"/>
        </w:rPr>
      </w:pPr>
      <w:r>
        <w:rPr>
          <w:color w:val="000000"/>
        </w:rPr>
        <w:t>3.2 场景中的使用对象</w:t>
      </w:r>
    </w:p>
    <w:p w14:paraId="3EB5DA30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投研人员、内容运营人员。</w:t>
      </w:r>
    </w:p>
    <w:p w14:paraId="618027D8">
      <w:pPr>
        <w:rPr>
          <w:color w:val="000000"/>
        </w:rPr>
      </w:pPr>
    </w:p>
    <w:p w14:paraId="0C858375">
      <w:pPr>
        <w:pStyle w:val="5"/>
        <w:rPr>
          <w:color w:val="000000"/>
        </w:rPr>
      </w:pPr>
      <w:r>
        <w:rPr>
          <w:color w:val="000000"/>
        </w:rPr>
        <w:t>3.3 场景发生的</w:t>
      </w:r>
      <w:r>
        <w:rPr>
          <w:rFonts w:hint="eastAsia"/>
          <w:color w:val="000000"/>
        </w:rPr>
        <w:t>频率</w:t>
      </w:r>
    </w:p>
    <w:p w14:paraId="191DD43D">
      <w:pPr>
        <w:rPr>
          <w:rFonts w:hint="eastAsia"/>
          <w:color w:val="A6A6A6" w:themeColor="background1" w:themeShade="A6"/>
        </w:rPr>
      </w:pPr>
      <w:r>
        <w:rPr>
          <w:rFonts w:hint="eastAsia" w:ascii="Segoe UI Symbol" w:hAnsi="Segoe UI Symbol" w:cs="Segoe UI Symbol"/>
          <w:color w:val="A6A6A6" w:themeColor="background1" w:themeShade="A6"/>
        </w:rPr>
        <w:t>盘后执行一次</w:t>
      </w:r>
    </w:p>
    <w:p w14:paraId="2863DBCA">
      <w:pPr>
        <w:rPr>
          <w:color w:val="000000"/>
        </w:rPr>
      </w:pPr>
    </w:p>
    <w:p w14:paraId="19F38DA1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输入内容说明</w:t>
      </w:r>
    </w:p>
    <w:p w14:paraId="2F8D2AA3">
      <w:pPr>
        <w:numPr>
          <w:ilvl w:val="0"/>
          <w:numId w:val="3"/>
        </w:numPr>
        <w:rPr>
          <w:color w:val="A6A6A6" w:themeColor="background1" w:themeShade="A6"/>
        </w:rPr>
      </w:pPr>
      <w:r>
        <w:rPr>
          <w:b/>
          <w:color w:val="A6A6A6" w:themeColor="background1" w:themeShade="A6"/>
        </w:rPr>
        <w:t>输入内容来源</w:t>
      </w:r>
      <w:r>
        <w:rPr>
          <w:color w:val="A6A6A6" w:themeColor="background1" w:themeShade="A6"/>
        </w:rPr>
        <w:t>：</w:t>
      </w:r>
    </w:p>
    <w:p w14:paraId="55A97E30">
      <w:pPr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输入内容：</w:t>
      </w:r>
      <w:r>
        <w:rPr>
          <w:color w:val="A6A6A6" w:themeColor="background1" w:themeShade="A6"/>
        </w:rPr>
        <w:t>资讯 / 新闻</w:t>
      </w:r>
    </w:p>
    <w:p w14:paraId="0539DAEC">
      <w:pPr>
        <w:rPr>
          <w:rFonts w:hint="eastAsia"/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内容来源：数据中台对接/同花顺资讯接口</w:t>
      </w:r>
    </w:p>
    <w:p w14:paraId="53B084B8">
      <w:pPr>
        <w:numPr>
          <w:ilvl w:val="0"/>
          <w:numId w:val="4"/>
        </w:numPr>
        <w:rPr>
          <w:color w:val="A6A6A6" w:themeColor="background1" w:themeShade="A6"/>
        </w:rPr>
      </w:pPr>
      <w:r>
        <w:rPr>
          <w:b/>
          <w:color w:val="A6A6A6" w:themeColor="background1" w:themeShade="A6"/>
        </w:rPr>
        <w:t>输入内容说明</w:t>
      </w:r>
      <w:r>
        <w:rPr>
          <w:color w:val="A6A6A6" w:themeColor="background1" w:themeShade="A6"/>
        </w:rPr>
        <w:t>：</w:t>
      </w:r>
    </w:p>
    <w:p w14:paraId="7D87D89F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包括新闻事件原文、历史相似事件以及相关市场表现数据。</w:t>
      </w:r>
    </w:p>
    <w:p w14:paraId="65F2A5AE">
      <w:pPr>
        <w:rPr>
          <w:color w:val="000000"/>
        </w:rPr>
      </w:pPr>
    </w:p>
    <w:p w14:paraId="5F8E3988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输出</w:t>
      </w:r>
      <w:r>
        <w:rPr>
          <w:rFonts w:hint="eastAsia"/>
          <w:color w:val="000000"/>
        </w:rPr>
        <w:t>内容&amp;形式</w:t>
      </w:r>
    </w:p>
    <w:p w14:paraId="6E41F44A">
      <w:pPr>
        <w:numPr>
          <w:ilvl w:val="0"/>
          <w:numId w:val="5"/>
        </w:numPr>
        <w:rPr>
          <w:color w:val="000000"/>
        </w:rPr>
      </w:pPr>
      <w:r>
        <w:rPr>
          <w:b/>
          <w:color w:val="000000"/>
        </w:rPr>
        <w:t>输出形式</w:t>
      </w:r>
      <w:r>
        <w:rPr>
          <w:color w:val="000000"/>
        </w:rPr>
        <w:t>：</w:t>
      </w:r>
    </w:p>
    <w:p w14:paraId="6F419373">
      <w:pPr>
        <w:ind w:left="336"/>
        <w:rPr>
          <w:b/>
          <w:color w:val="A6A6A6" w:themeColor="background1" w:themeShade="A6"/>
        </w:rPr>
      </w:pPr>
      <w:r>
        <w:rPr>
          <w:rFonts w:hint="eastAsia"/>
          <w:b/>
          <w:color w:val="A6A6A6" w:themeColor="background1" w:themeShade="A6"/>
        </w:rPr>
        <w:t>{</w:t>
      </w:r>
      <w:r>
        <w:rPr>
          <w:b/>
          <w:color w:val="A6A6A6" w:themeColor="background1" w:themeShade="A6"/>
        </w:rPr>
        <w:br w:type="textWrapping"/>
      </w:r>
      <w:r>
        <w:rPr>
          <w:rFonts w:hint="eastAsia"/>
          <w:b/>
          <w:color w:val="A6A6A6" w:themeColor="background1" w:themeShade="A6"/>
        </w:rPr>
        <w:t>“title”：xxxx</w:t>
      </w:r>
      <w:r>
        <w:rPr>
          <w:b/>
          <w:color w:val="A6A6A6" w:themeColor="background1" w:themeShade="A6"/>
        </w:rPr>
        <w:br w:type="textWrapping"/>
      </w:r>
      <w:r>
        <w:rPr>
          <w:rFonts w:hint="eastAsia"/>
          <w:b/>
          <w:color w:val="A6A6A6" w:themeColor="background1" w:themeShade="A6"/>
        </w:rPr>
        <w:t>“content”:xxxx</w:t>
      </w:r>
      <w:r>
        <w:rPr>
          <w:b/>
          <w:color w:val="A6A6A6" w:themeColor="background1" w:themeShade="A6"/>
        </w:rPr>
        <w:br w:type="textWrapping"/>
      </w:r>
      <w:r>
        <w:rPr>
          <w:rFonts w:hint="eastAsia"/>
          <w:b/>
          <w:color w:val="A6A6A6" w:themeColor="background1" w:themeShade="A6"/>
        </w:rPr>
        <w:t>“ai_read”:xxxx</w:t>
      </w:r>
    </w:p>
    <w:p w14:paraId="174CC7B3">
      <w:pPr>
        <w:ind w:left="336"/>
        <w:rPr>
          <w:rFonts w:hint="eastAsia"/>
          <w:b/>
          <w:color w:val="A6A6A6" w:themeColor="background1" w:themeShade="A6"/>
        </w:rPr>
      </w:pPr>
      <w:r>
        <w:rPr>
          <w:b/>
          <w:color w:val="A6A6A6" w:themeColor="background1" w:themeShade="A6"/>
        </w:rPr>
        <w:t>…</w:t>
      </w:r>
      <w:r>
        <w:rPr>
          <w:rFonts w:hint="eastAsia"/>
          <w:b/>
          <w:color w:val="A6A6A6" w:themeColor="background1" w:themeShade="A6"/>
        </w:rPr>
        <w:t>..</w:t>
      </w:r>
    </w:p>
    <w:p w14:paraId="24961F7C">
      <w:pPr>
        <w:ind w:left="336"/>
        <w:rPr>
          <w:rFonts w:hint="eastAsia"/>
          <w:color w:val="A6A6A6" w:themeColor="background1" w:themeShade="A6"/>
        </w:rPr>
      </w:pPr>
      <w:r>
        <w:rPr>
          <w:rFonts w:hint="eastAsia"/>
          <w:b/>
          <w:color w:val="A6A6A6" w:themeColor="background1" w:themeShade="A6"/>
        </w:rPr>
        <w:t>}</w:t>
      </w:r>
    </w:p>
    <w:p w14:paraId="2B2E0FDB">
      <w:pPr>
        <w:numPr>
          <w:ilvl w:val="0"/>
          <w:numId w:val="6"/>
        </w:numPr>
        <w:rPr>
          <w:color w:val="000000"/>
        </w:rPr>
      </w:pPr>
      <w:r>
        <w:rPr>
          <w:b/>
          <w:color w:val="000000"/>
        </w:rPr>
        <w:t>输出要求</w:t>
      </w:r>
      <w:r>
        <w:rPr>
          <w:color w:val="000000"/>
        </w:rPr>
        <w:t>：</w:t>
      </w:r>
    </w:p>
    <w:p w14:paraId="212318EE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按新闻发布数/舆情讨论热度/影响市场标的波动幅度/，找到综合影响力排名前10的专题内容，</w:t>
      </w:r>
      <w:r>
        <w:rPr>
          <w:rFonts w:hint="eastAsia"/>
          <w:color w:val="A6A6A6" w:themeColor="background1" w:themeShade="A6"/>
        </w:rPr>
        <w:t>包括：</w:t>
      </w:r>
    </w:p>
    <w:p w14:paraId="5A802A2B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专题名称；</w:t>
      </w:r>
    </w:p>
    <w:p w14:paraId="01DE86F2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专题概要；</w:t>
      </w:r>
    </w:p>
    <w:p w14:paraId="50EBA4CA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专题事件的市场影响逻辑AI观点；</w:t>
      </w:r>
    </w:p>
    <w:p w14:paraId="7B1DC009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专题相关新闻事件的事件轨迹（本专题相关重大新闻发布的历史时间脉络、原新闻发布日期、作者、链接）</w:t>
      </w:r>
    </w:p>
    <w:p w14:paraId="3F5D0444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专题事件的（关联）投资市场、投资行业/概念/题材；</w:t>
      </w:r>
    </w:p>
    <w:p w14:paraId="6E798D3A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专题相关新闻事件发生后，（关联）投资市场、投资行业/概念/题材的后续涨跌表现（统计涨跌方向，t+5日的标的日涨跌幅数据）；</w:t>
      </w:r>
    </w:p>
    <w:p w14:paraId="482BD2D2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权威机构或专家对该专题的观点摘要及原文标题、作者、链接；</w:t>
      </w:r>
    </w:p>
    <w:p w14:paraId="544399BB">
      <w:pPr>
        <w:numPr>
          <w:ilvl w:val="0"/>
          <w:numId w:val="7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专题相关的重要新闻事件原文标题、作者、链接。</w:t>
      </w:r>
    </w:p>
    <w:p w14:paraId="42004348">
      <w:pPr>
        <w:rPr>
          <w:color w:val="000000"/>
        </w:rPr>
      </w:pPr>
      <w:r>
        <w:rPr>
          <w:rFonts w:hint="eastAsia"/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内容以逻辑梳理为主，篇幅适中，便于快速阅读。</w:t>
      </w:r>
    </w:p>
    <w:p w14:paraId="1F2209C2"/>
    <w:p w14:paraId="77DD20D4"/>
    <w:p w14:paraId="79415E8C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智能体能力边界</w:t>
      </w:r>
    </w:p>
    <w:p w14:paraId="5BD512AD">
      <w:pPr>
        <w:numPr>
          <w:ilvl w:val="0"/>
          <w:numId w:val="8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在整理基础上进行归纳总结</w:t>
      </w:r>
    </w:p>
    <w:p w14:paraId="183A4D65">
      <w:pPr>
        <w:numPr>
          <w:ilvl w:val="0"/>
          <w:numId w:val="8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允许基于内容给出逻辑分析</w:t>
      </w:r>
    </w:p>
    <w:p w14:paraId="0FB7C74E">
      <w:pPr>
        <w:ind w:left="336"/>
        <w:rPr>
          <w:color w:val="000000"/>
        </w:rPr>
      </w:pPr>
    </w:p>
    <w:p w14:paraId="1865A3E0">
      <w:pPr>
        <w:rPr>
          <w:color w:val="000000"/>
        </w:rPr>
      </w:pPr>
    </w:p>
    <w:p w14:paraId="0E4C861F">
      <w:pPr>
        <w:ind w:left="336"/>
        <w:rPr>
          <w:color w:val="000000"/>
        </w:rPr>
      </w:pPr>
    </w:p>
    <w:p w14:paraId="28C1FA27">
      <w:pPr>
        <w:pStyle w:val="4"/>
        <w:numPr>
          <w:ilvl w:val="0"/>
          <w:numId w:val="1"/>
        </w:numPr>
        <w:rPr>
          <w:color w:val="000000"/>
        </w:rPr>
      </w:pPr>
      <w:r>
        <w:rPr>
          <w:rFonts w:hint="eastAsia"/>
          <w:color w:val="000000"/>
        </w:rPr>
        <w:t>使用限制与规则</w:t>
      </w:r>
    </w:p>
    <w:p w14:paraId="34A6680F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不对具体个股给出买卖建议，不预测收益或具体点位。当事件尚未对市场产生明确影响时，仅输出事件背景与关注点。</w:t>
      </w:r>
    </w:p>
    <w:p w14:paraId="6EF2E2A2">
      <w:pPr>
        <w:rPr>
          <w:b/>
          <w:color w:val="000000"/>
        </w:rPr>
      </w:pPr>
    </w:p>
    <w:p w14:paraId="76ED6339">
      <w:pPr>
        <w:rPr>
          <w:b/>
          <w:color w:val="000000"/>
        </w:rPr>
      </w:pPr>
    </w:p>
    <w:p w14:paraId="0C048403">
      <w:pPr>
        <w:pStyle w:val="4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成功标准与验收方式</w:t>
      </w:r>
    </w:p>
    <w:p w14:paraId="244915C6">
      <w:pPr>
        <w:numPr>
          <w:ilvl w:val="0"/>
          <w:numId w:val="9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成功标准：</w:t>
      </w:r>
    </w:p>
    <w:p w14:paraId="22D506A0">
      <w:pPr>
        <w:numPr>
          <w:ilvl w:val="1"/>
          <w:numId w:val="9"/>
        </w:numPr>
        <w:ind w:left="776"/>
        <w:rPr>
          <w:color w:val="A6A6A6" w:themeColor="background1" w:themeShade="A6"/>
        </w:rPr>
      </w:pPr>
      <w:r>
        <w:rPr>
          <w:color w:val="A6A6A6" w:themeColor="background1" w:themeShade="A6"/>
        </w:rPr>
        <w:t>能清楚说明该事件为何值得关注</w:t>
      </w:r>
    </w:p>
    <w:p w14:paraId="616BFCB8">
      <w:pPr>
        <w:numPr>
          <w:ilvl w:val="1"/>
          <w:numId w:val="9"/>
        </w:numPr>
        <w:ind w:left="776"/>
        <w:rPr>
          <w:color w:val="A6A6A6" w:themeColor="background1" w:themeShade="A6"/>
        </w:rPr>
      </w:pPr>
      <w:r>
        <w:rPr>
          <w:color w:val="A6A6A6" w:themeColor="background1" w:themeShade="A6"/>
        </w:rPr>
        <w:t>能描述可能受影响的行业或方向</w:t>
      </w:r>
    </w:p>
    <w:p w14:paraId="06CAFB75">
      <w:pPr>
        <w:numPr>
          <w:ilvl w:val="1"/>
          <w:numId w:val="9"/>
        </w:numPr>
        <w:ind w:left="776"/>
        <w:rPr>
          <w:color w:val="A6A6A6" w:themeColor="background1" w:themeShade="A6"/>
        </w:rPr>
      </w:pPr>
      <w:r>
        <w:rPr>
          <w:color w:val="A6A6A6" w:themeColor="background1" w:themeShade="A6"/>
        </w:rPr>
        <w:t>内容不涉及具体投资建议</w:t>
      </w:r>
    </w:p>
    <w:p w14:paraId="341D7E76">
      <w:pPr>
        <w:ind w:left="776"/>
        <w:rPr>
          <w:color w:val="A6A6A6" w:themeColor="background1" w:themeShade="A6"/>
        </w:rPr>
      </w:pPr>
    </w:p>
    <w:p w14:paraId="6A894F3A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范例事件：10.11-10.12周末特朗普再次提出100%对华关税及大陆对稀土的调查反制升级，12日晚间在各财经门户及短视频平台引发舆情升温，部分媒体或机构表达了周一行情利空隐忧。</w:t>
      </w:r>
    </w:p>
    <w:p w14:paraId="30B16686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预期效果：话题智能体可以在12日内，完成&lt;特朗普关税发言&gt;（或者关税争端升温/特朗普关税战/中美贸易战）的专题生成或专题内容更新，并将该专题舆情排名提升至影响力排名榜首，作为对运营人员的事件运营动作提醒。</w:t>
      </w:r>
    </w:p>
    <w:p w14:paraId="20B6DF39">
      <w:pPr>
        <w:rPr>
          <w:color w:val="000000"/>
        </w:rPr>
      </w:pPr>
    </w:p>
    <w:p w14:paraId="229E5E8F">
      <w:pPr>
        <w:rPr>
          <w:color w:val="000000"/>
        </w:rPr>
      </w:pPr>
    </w:p>
    <w:p w14:paraId="309E470D">
      <w:pPr>
        <w:rPr>
          <w:color w:val="000000"/>
        </w:rPr>
      </w:pPr>
    </w:p>
    <w:p w14:paraId="431892EB">
      <w:pPr>
        <w:numPr>
          <w:ilvl w:val="0"/>
          <w:numId w:val="9"/>
        </w:numPr>
        <w:rPr>
          <w:color w:val="000000"/>
        </w:rPr>
      </w:pPr>
      <w:r>
        <w:rPr>
          <w:b/>
          <w:color w:val="000000"/>
        </w:rPr>
        <w:t>验收方式</w:t>
      </w:r>
      <w:r>
        <w:rPr>
          <w:color w:val="000000"/>
        </w:rPr>
        <w:t>：</w:t>
      </w:r>
    </w:p>
    <w:p w14:paraId="20C90901">
      <w:pPr>
        <w:ind w:left="440"/>
        <w:rPr>
          <w:color w:val="A6A6A6" w:themeColor="background1" w:themeShade="A6"/>
        </w:rPr>
      </w:pPr>
      <w:r>
        <w:rPr>
          <w:color w:val="A6A6A6" w:themeColor="background1" w:themeShade="A6"/>
        </w:rPr>
        <w:t>查看生成内容示例</w:t>
      </w:r>
    </w:p>
    <w:p w14:paraId="5B6B37B7">
      <w:pPr>
        <w:ind w:left="440"/>
        <w:rPr>
          <w:color w:val="A6A6A6" w:themeColor="background1" w:themeShade="A6"/>
        </w:rPr>
      </w:pPr>
      <w:r>
        <w:rPr>
          <w:color w:val="A6A6A6" w:themeColor="background1" w:themeShade="A6"/>
        </w:rPr>
        <w:t>投研人员试用反馈</w:t>
      </w:r>
    </w:p>
    <w:p w14:paraId="3B4544D7">
      <w:pPr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竞品/示例展现形式：</w:t>
      </w:r>
    </w:p>
    <w:p w14:paraId="36E5CEDB">
      <w:pPr>
        <w:jc w:val="center"/>
        <w:rPr>
          <w:rFonts w:hint="eastAsia"/>
        </w:rPr>
      </w:pPr>
      <w:r>
        <w:drawing>
          <wp:inline distT="0" distB="0" distL="0" distR="0">
            <wp:extent cx="2792730" cy="6052820"/>
            <wp:effectExtent l="0" t="0" r="7620" b="5080"/>
            <wp:docPr id="1211259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999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5964" cy="60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755DA"/>
    <w:multiLevelType w:val="multilevel"/>
    <w:tmpl w:val="1BC755D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351B7E07"/>
    <w:multiLevelType w:val="multilevel"/>
    <w:tmpl w:val="351B7E07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bCs/>
        <w:snapToGrid/>
        <w:color w:val="5B9BD5" w:themeColor="accent1"/>
        <w:spacing w:val="0"/>
        <w:szCs w:val="26"/>
        <w:shd w:val="clear" w:color="auto" w:fill="auto"/>
        <w14:textFill>
          <w14:solidFill>
            <w14:schemeClr w14:val="accent1"/>
          </w14:solidFill>
        </w14:textFill>
      </w:rPr>
    </w:lvl>
    <w:lvl w:ilvl="1" w:tentative="0">
      <w:start w:val="1"/>
      <w:numFmt w:val="decimal"/>
      <w:lvlText w:val="%2."/>
      <w:lvlJc w:val="left"/>
      <w:pPr>
        <w:ind w:left="776" w:hanging="336"/>
      </w:pPr>
      <w:rPr>
        <w:spacing w:val="0"/>
      </w:rPr>
    </w:lvl>
    <w:lvl w:ilvl="2" w:tentative="0">
      <w:start w:val="1"/>
      <w:numFmt w:val="decimal"/>
      <w:lvlText w:val="（%3）"/>
      <w:lvlJc w:val="left"/>
      <w:pPr>
        <w:ind w:left="1216" w:hanging="336"/>
      </w:pPr>
      <w:rPr>
        <w:spacing w:val="0"/>
      </w:rPr>
    </w:lvl>
    <w:lvl w:ilvl="3" w:tentative="0">
      <w:start w:val="1"/>
      <w:numFmt w:val="decimalEnclosedCircleChinese"/>
      <w:lvlText w:val="%4"/>
      <w:lvlJc w:val="left"/>
      <w:pPr>
        <w:ind w:left="1656" w:hanging="336"/>
      </w:pPr>
      <w:rPr>
        <w:spacing w:val="0"/>
      </w:rPr>
    </w:lvl>
    <w:lvl w:ilvl="4" w:tentative="0">
      <w:start w:val="1"/>
      <w:numFmt w:val="decimal"/>
      <w:lvlText w:val="%5)"/>
      <w:lvlJc w:val="left"/>
      <w:pPr>
        <w:ind w:left="2096" w:hanging="336"/>
      </w:pPr>
      <w:rPr>
        <w:spacing w:val="0"/>
      </w:rPr>
    </w:lvl>
    <w:lvl w:ilvl="5" w:tentative="0">
      <w:start w:val="1"/>
      <w:numFmt w:val="lowerLetter"/>
      <w:lvlText w:val="%6."/>
      <w:lvlJc w:val="left"/>
      <w:pPr>
        <w:ind w:left="2536" w:hanging="336"/>
      </w:pPr>
      <w:rPr>
        <w:spacing w:val="0"/>
      </w:rPr>
    </w:lvl>
    <w:lvl w:ilvl="6" w:tentative="0">
      <w:start w:val="1"/>
      <w:numFmt w:val="lowerLetter"/>
      <w:lvlText w:val="%7)"/>
      <w:lvlJc w:val="left"/>
      <w:pPr>
        <w:ind w:left="2976" w:hanging="336"/>
      </w:pPr>
      <w:rPr>
        <w:spacing w:val="0"/>
      </w:rPr>
    </w:lvl>
    <w:lvl w:ilvl="7" w:tentative="0">
      <w:start w:val="1"/>
      <w:numFmt w:val="lowerRoman"/>
      <w:lvlText w:val="%8."/>
      <w:lvlJc w:val="left"/>
      <w:pPr>
        <w:ind w:left="3416" w:hanging="336"/>
      </w:pPr>
      <w:rPr>
        <w:spacing w:val="0"/>
      </w:rPr>
    </w:lvl>
    <w:lvl w:ilvl="8" w:tentative="0">
      <w:start w:val="1"/>
      <w:numFmt w:val="lowerRoman"/>
      <w:lvlText w:val="%9)"/>
      <w:lvlJc w:val="left"/>
      <w:pPr>
        <w:ind w:left="3856" w:hanging="336"/>
      </w:pPr>
      <w:rPr>
        <w:spacing w:val="0"/>
      </w:rPr>
    </w:lvl>
  </w:abstractNum>
  <w:abstractNum w:abstractNumId="2">
    <w:nsid w:val="36122092"/>
    <w:multiLevelType w:val="multilevel"/>
    <w:tmpl w:val="3612209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37114BE0"/>
    <w:multiLevelType w:val="multilevel"/>
    <w:tmpl w:val="37114BE0"/>
    <w:lvl w:ilvl="0" w:tentative="0">
      <w:start w:val="1"/>
      <w:numFmt w:val="decimal"/>
      <w:lvlText w:val="%1."/>
      <w:lvlJc w:val="left"/>
      <w:pPr>
        <w:ind w:left="672" w:hanging="336"/>
      </w:pPr>
    </w:lvl>
    <w:lvl w:ilvl="1" w:tentative="0">
      <w:start w:val="1"/>
      <w:numFmt w:val="lowerLetter"/>
      <w:lvlText w:val="%2."/>
      <w:lvlJc w:val="left"/>
      <w:pPr>
        <w:ind w:left="1112" w:hanging="336"/>
      </w:pPr>
    </w:lvl>
    <w:lvl w:ilvl="2" w:tentative="0">
      <w:start w:val="1"/>
      <w:numFmt w:val="lowerRoman"/>
      <w:lvlText w:val="%3."/>
      <w:lvlJc w:val="left"/>
      <w:pPr>
        <w:ind w:left="1552" w:hanging="336"/>
      </w:pPr>
    </w:lvl>
    <w:lvl w:ilvl="3" w:tentative="0">
      <w:start w:val="1"/>
      <w:numFmt w:val="decimal"/>
      <w:lvlText w:val="%4."/>
      <w:lvlJc w:val="left"/>
      <w:pPr>
        <w:ind w:left="1992" w:hanging="336"/>
      </w:pPr>
    </w:lvl>
    <w:lvl w:ilvl="4" w:tentative="0">
      <w:start w:val="1"/>
      <w:numFmt w:val="lowerLetter"/>
      <w:lvlText w:val="%5."/>
      <w:lvlJc w:val="left"/>
      <w:pPr>
        <w:ind w:left="2432" w:hanging="336"/>
      </w:pPr>
    </w:lvl>
    <w:lvl w:ilvl="5" w:tentative="0">
      <w:start w:val="1"/>
      <w:numFmt w:val="lowerRoman"/>
      <w:lvlText w:val="%6."/>
      <w:lvlJc w:val="left"/>
      <w:pPr>
        <w:ind w:left="2872" w:hanging="336"/>
      </w:pPr>
    </w:lvl>
    <w:lvl w:ilvl="6" w:tentative="0">
      <w:start w:val="1"/>
      <w:numFmt w:val="decimal"/>
      <w:lvlText w:val="%7."/>
      <w:lvlJc w:val="left"/>
      <w:pPr>
        <w:ind w:left="3312" w:hanging="336"/>
      </w:pPr>
    </w:lvl>
    <w:lvl w:ilvl="7" w:tentative="0">
      <w:start w:val="1"/>
      <w:numFmt w:val="lowerLetter"/>
      <w:lvlText w:val="%8."/>
      <w:lvlJc w:val="left"/>
      <w:pPr>
        <w:ind w:left="3752" w:hanging="336"/>
      </w:pPr>
    </w:lvl>
    <w:lvl w:ilvl="8" w:tentative="0">
      <w:start w:val="1"/>
      <w:numFmt w:val="lowerRoman"/>
      <w:lvlText w:val="%9."/>
      <w:lvlJc w:val="left"/>
      <w:pPr>
        <w:ind w:left="4192" w:hanging="336"/>
      </w:pPr>
    </w:lvl>
  </w:abstractNum>
  <w:abstractNum w:abstractNumId="4">
    <w:nsid w:val="4A295E2A"/>
    <w:multiLevelType w:val="multilevel"/>
    <w:tmpl w:val="4A295E2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nsid w:val="4F1933EC"/>
    <w:multiLevelType w:val="multilevel"/>
    <w:tmpl w:val="4F1933EC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4FDB4644"/>
    <w:multiLevelType w:val="multilevel"/>
    <w:tmpl w:val="4FDB464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5A175B38"/>
    <w:multiLevelType w:val="multilevel"/>
    <w:tmpl w:val="5A175B38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8">
    <w:nsid w:val="5CE876CA"/>
    <w:multiLevelType w:val="multilevel"/>
    <w:tmpl w:val="5CE876C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818BC"/>
    <w:rsid w:val="000B2D1A"/>
    <w:rsid w:val="000B62CA"/>
    <w:rsid w:val="002717A1"/>
    <w:rsid w:val="002906C2"/>
    <w:rsid w:val="002A53AA"/>
    <w:rsid w:val="003225B6"/>
    <w:rsid w:val="004A7D2B"/>
    <w:rsid w:val="00501D40"/>
    <w:rsid w:val="005C35DE"/>
    <w:rsid w:val="005D38F1"/>
    <w:rsid w:val="00626AA2"/>
    <w:rsid w:val="0068574D"/>
    <w:rsid w:val="006958E2"/>
    <w:rsid w:val="006E696F"/>
    <w:rsid w:val="0071681D"/>
    <w:rsid w:val="007C7A70"/>
    <w:rsid w:val="00890FE1"/>
    <w:rsid w:val="0090731C"/>
    <w:rsid w:val="00911850"/>
    <w:rsid w:val="009E7FC9"/>
    <w:rsid w:val="00A371C4"/>
    <w:rsid w:val="00A85D95"/>
    <w:rsid w:val="00AB1D25"/>
    <w:rsid w:val="00AD3D80"/>
    <w:rsid w:val="00B727BA"/>
    <w:rsid w:val="00BE0D57"/>
    <w:rsid w:val="00C9237F"/>
    <w:rsid w:val="00DE0430"/>
    <w:rsid w:val="00F43BCA"/>
    <w:rsid w:val="00F50C8B"/>
    <w:rsid w:val="07011CC2"/>
    <w:rsid w:val="07644792"/>
    <w:rsid w:val="09284798"/>
    <w:rsid w:val="0F2B6FD9"/>
    <w:rsid w:val="17FF7D41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7974304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629</Words>
  <Characters>668</Characters>
  <Lines>8</Lines>
  <Paragraphs>2</Paragraphs>
  <TotalTime>4</TotalTime>
  <ScaleCrop>false</ScaleCrop>
  <LinksUpToDate>false</LinksUpToDate>
  <CharactersWithSpaces>677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2026-01-16T15:24:00Z</dcterms:created>
  <dc:creator>Administrator</dc:creator>
  <cp:lastModifiedBy>Dr.eam</cp:lastModifiedBy>
  <dcterms:modified xsi:type="dcterms:W3CDTF">2026-06-22T08:00:42Z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C76A6EEE38DF4AC38F476ABEF494B218_13</vt:lpwstr>
  </property>
  <property fmtid="{D5CDD505-2E9C-101B-9397-08002B2CF9AE}" pid="4" name="KSOTemplateDocerSaveRecord">
    <vt:lpwstr>eyJoZGlkIjoiYjhlM2Q5ODBiODMyMmM2ZmU0YWUxNGQyYjdiOWIyMTgiLCJ1c2VySWQiOiI3MzEzMTQyNDYifQ==</vt:lpwstr>
  </property>
</Properties>
</file>