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044E2" w14:textId="77777777" w:rsidR="002F5190" w:rsidRDefault="00000000">
      <w:pPr>
        <w:spacing w:before="63"/>
        <w:ind w:left="2726" w:right="-480"/>
        <w:rPr>
          <w:rFonts w:ascii="Times New Roman" w:eastAsia="Times New Roman" w:hAnsi="Times New Roman" w:cs="Times New Roman"/>
          <w:b/>
          <w:sz w:val="40"/>
          <w:szCs w:val="40"/>
        </w:rPr>
      </w:pPr>
      <w:r>
        <w:rPr>
          <w:rFonts w:ascii="Times New Roman" w:eastAsia="Times New Roman" w:hAnsi="Times New Roman" w:cs="Times New Roman"/>
          <w:b/>
          <w:sz w:val="40"/>
          <w:szCs w:val="40"/>
        </w:rPr>
        <w:t>SUBLEASE AGREEMENT</w:t>
      </w:r>
    </w:p>
    <w:p w14:paraId="45FF77EE" w14:textId="77777777" w:rsidR="002F5190" w:rsidRDefault="002F5190">
      <w:pPr>
        <w:pBdr>
          <w:top w:val="nil"/>
          <w:left w:val="nil"/>
          <w:bottom w:val="nil"/>
          <w:right w:val="nil"/>
          <w:between w:val="nil"/>
        </w:pBdr>
        <w:spacing w:before="2"/>
        <w:ind w:right="-480"/>
        <w:rPr>
          <w:rFonts w:ascii="Times New Roman" w:eastAsia="Times New Roman" w:hAnsi="Times New Roman" w:cs="Times New Roman"/>
          <w:b/>
          <w:color w:val="000000"/>
          <w:sz w:val="40"/>
          <w:szCs w:val="40"/>
        </w:rPr>
      </w:pPr>
    </w:p>
    <w:p w14:paraId="74A8B987" w14:textId="77777777" w:rsidR="002F5190" w:rsidRDefault="00000000">
      <w:pPr>
        <w:pBdr>
          <w:top w:val="nil"/>
          <w:left w:val="nil"/>
          <w:bottom w:val="nil"/>
          <w:right w:val="nil"/>
          <w:between w:val="nil"/>
        </w:pBdr>
        <w:spacing w:line="288" w:lineRule="auto"/>
        <w:ind w:left="215" w:right="-480"/>
        <w:rPr>
          <w:color w:val="000000"/>
          <w:sz w:val="20"/>
          <w:szCs w:val="20"/>
        </w:rPr>
      </w:pPr>
      <w:r>
        <w:t>This is an agreement to sublet real property (hereinafter known as the "Sublease") between JUNTAO LIU and JUEYING ZHU (hereinafter known as the “Sublessor”) and MOHAN LU (hereinafter known as the “Sublessee”).</w:t>
      </w:r>
    </w:p>
    <w:p w14:paraId="07E2689B" w14:textId="77777777" w:rsidR="002F5190" w:rsidRDefault="002F5190">
      <w:pPr>
        <w:pBdr>
          <w:top w:val="nil"/>
          <w:left w:val="nil"/>
          <w:bottom w:val="nil"/>
          <w:right w:val="nil"/>
          <w:between w:val="nil"/>
        </w:pBdr>
        <w:ind w:right="-480"/>
        <w:rPr>
          <w:color w:val="000000"/>
          <w:sz w:val="28"/>
          <w:szCs w:val="28"/>
        </w:rPr>
      </w:pPr>
    </w:p>
    <w:p w14:paraId="13D3BFD4" w14:textId="491EF376" w:rsidR="002F5190" w:rsidRDefault="00000000">
      <w:pPr>
        <w:pBdr>
          <w:top w:val="nil"/>
          <w:left w:val="nil"/>
          <w:bottom w:val="nil"/>
          <w:right w:val="nil"/>
          <w:between w:val="nil"/>
        </w:pBdr>
        <w:spacing w:line="288" w:lineRule="auto"/>
        <w:ind w:left="160" w:right="-480"/>
        <w:jc w:val="both"/>
        <w:rPr>
          <w:color w:val="000000"/>
          <w:sz w:val="20"/>
          <w:szCs w:val="20"/>
        </w:rPr>
      </w:pPr>
      <w:r>
        <w:rPr>
          <w:color w:val="000000"/>
          <w:sz w:val="20"/>
          <w:szCs w:val="20"/>
        </w:rPr>
        <w:t xml:space="preserve">The Sublessor agrees to sublet to the Sublessee, and the Sublessee agrees to take possession of the property located at </w:t>
      </w:r>
      <w:r w:rsidR="007D23EF">
        <w:rPr>
          <w:rFonts w:ascii="Arial Bold" w:eastAsiaTheme="minorEastAsia" w:hAnsi="Arial Bold" w:cs="Arial Bold" w:hint="eastAsia"/>
          <w:b/>
          <w:color w:val="000000"/>
          <w:sz w:val="20"/>
          <w:szCs w:val="20"/>
          <w:lang w:eastAsia="zh-CN"/>
        </w:rPr>
        <w:t>343 Gold Street, Brooklyn</w:t>
      </w:r>
      <w:r>
        <w:rPr>
          <w:rFonts w:ascii="Arial Bold" w:eastAsia="Arial Bold" w:hAnsi="Arial Bold" w:cs="Arial Bold"/>
          <w:b/>
          <w:color w:val="000000"/>
          <w:sz w:val="20"/>
          <w:szCs w:val="20"/>
        </w:rPr>
        <w:t>, NY 1</w:t>
      </w:r>
      <w:r w:rsidR="007D23EF">
        <w:rPr>
          <w:rFonts w:ascii="Arial Bold" w:eastAsiaTheme="minorEastAsia" w:hAnsi="Arial Bold" w:cs="Arial Bold" w:hint="eastAsia"/>
          <w:b/>
          <w:color w:val="000000"/>
          <w:sz w:val="20"/>
          <w:szCs w:val="20"/>
          <w:lang w:eastAsia="zh-CN"/>
        </w:rPr>
        <w:t>1201</w:t>
      </w:r>
      <w:r>
        <w:rPr>
          <w:color w:val="000000"/>
          <w:sz w:val="20"/>
          <w:szCs w:val="20"/>
        </w:rPr>
        <w:t xml:space="preserve"> (hereinafter known as the “Premises”) under the following terms and conditions:</w:t>
      </w:r>
    </w:p>
    <w:p w14:paraId="3D72E05D" w14:textId="77777777" w:rsidR="002F5190" w:rsidRDefault="002F5190">
      <w:pPr>
        <w:pBdr>
          <w:top w:val="nil"/>
          <w:left w:val="nil"/>
          <w:bottom w:val="nil"/>
          <w:right w:val="nil"/>
          <w:between w:val="nil"/>
        </w:pBdr>
        <w:ind w:right="-480"/>
        <w:rPr>
          <w:color w:val="000000"/>
          <w:sz w:val="28"/>
          <w:szCs w:val="28"/>
        </w:rPr>
      </w:pPr>
    </w:p>
    <w:p w14:paraId="7B161A09" w14:textId="77777777" w:rsidR="002F5190" w:rsidRDefault="00000000">
      <w:pPr>
        <w:numPr>
          <w:ilvl w:val="0"/>
          <w:numId w:val="1"/>
        </w:numPr>
        <w:pBdr>
          <w:top w:val="nil"/>
          <w:left w:val="nil"/>
          <w:bottom w:val="nil"/>
          <w:right w:val="nil"/>
          <w:between w:val="nil"/>
        </w:pBdr>
        <w:tabs>
          <w:tab w:val="left" w:pos="384"/>
        </w:tabs>
        <w:spacing w:line="273" w:lineRule="auto"/>
        <w:ind w:right="-480"/>
        <w:rPr>
          <w:color w:val="000000"/>
          <w:sz w:val="20"/>
          <w:szCs w:val="20"/>
        </w:rPr>
      </w:pPr>
      <w:r>
        <w:t xml:space="preserve">Term. Tenancy of this Sublease shall begin with the sublessee taking possession on June 10, </w:t>
      </w:r>
      <w:proofErr w:type="gramStart"/>
      <w:r>
        <w:t>2024</w:t>
      </w:r>
      <w:proofErr w:type="gramEnd"/>
      <w:r>
        <w:t xml:space="preserve"> and end on August 20, 2024. Under no circumstances shall there be holdover by the Sublessee.</w:t>
      </w:r>
    </w:p>
    <w:p w14:paraId="19F1CBB3" w14:textId="77777777" w:rsidR="002F5190" w:rsidRDefault="002F5190">
      <w:pPr>
        <w:pBdr>
          <w:top w:val="nil"/>
          <w:left w:val="nil"/>
          <w:bottom w:val="nil"/>
          <w:right w:val="nil"/>
          <w:between w:val="nil"/>
        </w:pBdr>
        <w:spacing w:before="10"/>
        <w:ind w:right="-480"/>
        <w:rPr>
          <w:color w:val="000000"/>
        </w:rPr>
      </w:pPr>
    </w:p>
    <w:p w14:paraId="6C205263" w14:textId="2F3FE37C" w:rsidR="002F5190" w:rsidRDefault="004E7963">
      <w:pPr>
        <w:numPr>
          <w:ilvl w:val="0"/>
          <w:numId w:val="1"/>
        </w:numPr>
        <w:pBdr>
          <w:top w:val="nil"/>
          <w:left w:val="nil"/>
          <w:bottom w:val="nil"/>
          <w:right w:val="nil"/>
          <w:between w:val="nil"/>
        </w:pBdr>
        <w:tabs>
          <w:tab w:val="left" w:pos="647"/>
          <w:tab w:val="left" w:pos="648"/>
        </w:tabs>
        <w:ind w:right="-480"/>
        <w:rPr>
          <w:color w:val="000000"/>
          <w:sz w:val="20"/>
          <w:szCs w:val="20"/>
        </w:rPr>
      </w:pPr>
      <w:r>
        <w:rPr>
          <w:rFonts w:eastAsiaTheme="minorEastAsia" w:hint="eastAsia"/>
          <w:lang w:eastAsia="zh-CN"/>
        </w:rPr>
        <w:t xml:space="preserve"> </w:t>
      </w:r>
      <w:r w:rsidR="00000000">
        <w:t xml:space="preserve">Rent. The rent under this Sublease shall be $2600.00 payable the first (1st) of </w:t>
      </w:r>
      <w:proofErr w:type="gramStart"/>
      <w:r w:rsidR="00000000">
        <w:t>sublease(</w:t>
      </w:r>
      <w:proofErr w:type="gramEnd"/>
      <w:r w:rsidR="00000000">
        <w:t>June 10, July 10, August 10).</w:t>
      </w:r>
    </w:p>
    <w:p w14:paraId="2F05A14B" w14:textId="77777777" w:rsidR="002F5190" w:rsidRDefault="002F5190">
      <w:pPr>
        <w:pBdr>
          <w:top w:val="nil"/>
          <w:left w:val="nil"/>
          <w:bottom w:val="nil"/>
          <w:right w:val="nil"/>
          <w:between w:val="nil"/>
        </w:pBdr>
        <w:spacing w:before="6"/>
        <w:ind w:left="215" w:right="-480"/>
        <w:rPr>
          <w:color w:val="000000"/>
          <w:sz w:val="31"/>
          <w:szCs w:val="31"/>
        </w:rPr>
      </w:pPr>
    </w:p>
    <w:p w14:paraId="06098182" w14:textId="77777777" w:rsidR="002F5190" w:rsidRDefault="00000000">
      <w:pPr>
        <w:numPr>
          <w:ilvl w:val="0"/>
          <w:numId w:val="1"/>
        </w:numPr>
        <w:pBdr>
          <w:top w:val="nil"/>
          <w:left w:val="nil"/>
          <w:bottom w:val="nil"/>
          <w:right w:val="nil"/>
          <w:between w:val="nil"/>
        </w:pBdr>
        <w:spacing w:before="1"/>
        <w:ind w:right="-480"/>
        <w:rPr>
          <w:color w:val="000000"/>
          <w:sz w:val="20"/>
          <w:szCs w:val="20"/>
        </w:rPr>
      </w:pPr>
      <w:r>
        <w:rPr>
          <w:color w:val="000000"/>
          <w:sz w:val="20"/>
          <w:szCs w:val="20"/>
        </w:rPr>
        <w:t>The rent shall be paid in the following manner: Zelle</w:t>
      </w:r>
    </w:p>
    <w:p w14:paraId="35BA01BD" w14:textId="77777777" w:rsidR="002F5190" w:rsidRDefault="002F5190">
      <w:pPr>
        <w:pBdr>
          <w:top w:val="nil"/>
          <w:left w:val="nil"/>
          <w:bottom w:val="nil"/>
          <w:right w:val="nil"/>
          <w:between w:val="nil"/>
        </w:pBdr>
        <w:tabs>
          <w:tab w:val="left" w:pos="504"/>
        </w:tabs>
        <w:spacing w:line="285" w:lineRule="auto"/>
        <w:ind w:left="215" w:right="-480"/>
        <w:rPr>
          <w:sz w:val="28"/>
          <w:szCs w:val="28"/>
        </w:rPr>
      </w:pPr>
    </w:p>
    <w:p w14:paraId="3BE17B43" w14:textId="77777777" w:rsidR="002F5190" w:rsidRDefault="00000000">
      <w:pPr>
        <w:numPr>
          <w:ilvl w:val="0"/>
          <w:numId w:val="1"/>
        </w:numPr>
        <w:pBdr>
          <w:top w:val="nil"/>
          <w:left w:val="nil"/>
          <w:bottom w:val="nil"/>
          <w:right w:val="nil"/>
          <w:between w:val="nil"/>
        </w:pBdr>
        <w:tabs>
          <w:tab w:val="left" w:pos="504"/>
        </w:tabs>
        <w:spacing w:line="285" w:lineRule="auto"/>
        <w:ind w:right="-480"/>
        <w:rPr>
          <w:color w:val="000000"/>
          <w:sz w:val="20"/>
          <w:szCs w:val="20"/>
        </w:rPr>
      </w:pPr>
      <w:r>
        <w:t xml:space="preserve">Utilities. The Sublessor shall be responsible for the following utilities: </w:t>
      </w:r>
      <w:proofErr w:type="spellStart"/>
      <w:r>
        <w:t>Wifi</w:t>
      </w:r>
      <w:proofErr w:type="spellEnd"/>
    </w:p>
    <w:p w14:paraId="54429DBE" w14:textId="77777777" w:rsidR="002F5190" w:rsidRDefault="00000000">
      <w:pPr>
        <w:numPr>
          <w:ilvl w:val="0"/>
          <w:numId w:val="1"/>
        </w:numPr>
        <w:pBdr>
          <w:top w:val="nil"/>
          <w:left w:val="nil"/>
          <w:bottom w:val="nil"/>
          <w:right w:val="nil"/>
          <w:between w:val="nil"/>
        </w:pBdr>
        <w:tabs>
          <w:tab w:val="left" w:pos="504"/>
        </w:tabs>
        <w:spacing w:line="285" w:lineRule="auto"/>
        <w:ind w:right="-480"/>
        <w:rPr>
          <w:color w:val="000000"/>
          <w:sz w:val="20"/>
          <w:szCs w:val="20"/>
        </w:rPr>
      </w:pPr>
      <w:r>
        <w:t xml:space="preserve">The Sublessee shall pay for </w:t>
      </w:r>
      <w:proofErr w:type="gramStart"/>
      <w:r>
        <w:t>Electricity</w:t>
      </w:r>
      <w:proofErr w:type="gramEnd"/>
      <w:r>
        <w:t>, calculated as the average monthly amount during the period June 6 – August 6 and split equally among three tenants. Water and Gas are included. Internet fees will be paid together with the rent in the first two months.</w:t>
      </w:r>
    </w:p>
    <w:p w14:paraId="1AAA6B27" w14:textId="77777777" w:rsidR="002F5190" w:rsidRDefault="002F5190">
      <w:pPr>
        <w:pBdr>
          <w:top w:val="nil"/>
          <w:left w:val="nil"/>
          <w:bottom w:val="nil"/>
          <w:right w:val="nil"/>
          <w:between w:val="nil"/>
        </w:pBdr>
        <w:spacing w:before="2"/>
        <w:ind w:left="215" w:right="-480"/>
        <w:rPr>
          <w:color w:val="000000"/>
          <w:sz w:val="24"/>
          <w:szCs w:val="24"/>
        </w:rPr>
      </w:pPr>
    </w:p>
    <w:p w14:paraId="16DD6494" w14:textId="77777777" w:rsidR="002F5190" w:rsidRDefault="00000000">
      <w:pPr>
        <w:numPr>
          <w:ilvl w:val="0"/>
          <w:numId w:val="1"/>
        </w:numPr>
        <w:pBdr>
          <w:top w:val="nil"/>
          <w:left w:val="nil"/>
          <w:bottom w:val="nil"/>
          <w:right w:val="nil"/>
          <w:between w:val="nil"/>
        </w:pBdr>
        <w:tabs>
          <w:tab w:val="left" w:pos="538"/>
        </w:tabs>
        <w:spacing w:line="278" w:lineRule="auto"/>
        <w:ind w:right="-480"/>
        <w:rPr>
          <w:color w:val="000000"/>
          <w:sz w:val="20"/>
          <w:szCs w:val="20"/>
        </w:rPr>
      </w:pPr>
      <w:r>
        <w:rPr>
          <w:b/>
          <w:color w:val="000000"/>
          <w:sz w:val="20"/>
          <w:szCs w:val="20"/>
        </w:rPr>
        <w:t xml:space="preserve">Liability. </w:t>
      </w:r>
      <w:r>
        <w:rPr>
          <w:color w:val="000000"/>
          <w:sz w:val="20"/>
          <w:szCs w:val="20"/>
        </w:rPr>
        <w:t xml:space="preserve"> The Sublessee will be liable to the Sublessor for any damages occurring to the premises, the contents thereof, the building/home, and any common areas. All actions conducted by any guests of the Sublessee are the responsibility and liability of the Sublessee.</w:t>
      </w:r>
    </w:p>
    <w:p w14:paraId="46683817" w14:textId="77777777" w:rsidR="002F5190" w:rsidRDefault="002F5190">
      <w:pPr>
        <w:pBdr>
          <w:top w:val="nil"/>
          <w:left w:val="nil"/>
          <w:bottom w:val="nil"/>
          <w:right w:val="nil"/>
          <w:between w:val="nil"/>
        </w:pBdr>
        <w:tabs>
          <w:tab w:val="left" w:pos="801"/>
          <w:tab w:val="left" w:pos="802"/>
        </w:tabs>
        <w:spacing w:before="197"/>
        <w:ind w:left="215" w:right="-480"/>
      </w:pPr>
    </w:p>
    <w:p w14:paraId="273C9848" w14:textId="77777777" w:rsidR="002F5190" w:rsidRDefault="00000000">
      <w:pPr>
        <w:numPr>
          <w:ilvl w:val="0"/>
          <w:numId w:val="1"/>
        </w:numPr>
        <w:pBdr>
          <w:top w:val="nil"/>
          <w:left w:val="nil"/>
          <w:bottom w:val="nil"/>
          <w:right w:val="nil"/>
          <w:between w:val="nil"/>
        </w:pBdr>
        <w:tabs>
          <w:tab w:val="left" w:pos="801"/>
          <w:tab w:val="left" w:pos="802"/>
        </w:tabs>
        <w:spacing w:before="197"/>
        <w:ind w:right="-480"/>
        <w:rPr>
          <w:color w:val="000000"/>
          <w:sz w:val="20"/>
          <w:szCs w:val="20"/>
        </w:rPr>
      </w:pPr>
      <w:r>
        <w:rPr>
          <w:b/>
          <w:color w:val="000000"/>
          <w:sz w:val="20"/>
          <w:szCs w:val="20"/>
        </w:rPr>
        <w:t xml:space="preserve">Move-in Checklist. </w:t>
      </w:r>
      <w:r>
        <w:rPr>
          <w:color w:val="000000"/>
          <w:sz w:val="20"/>
          <w:szCs w:val="20"/>
        </w:rPr>
        <w:t>At the time of taking possession of the premises by the Sublessee, the</w:t>
      </w:r>
    </w:p>
    <w:p w14:paraId="5AAAD866" w14:textId="77777777" w:rsidR="002F5190" w:rsidRDefault="00000000">
      <w:pPr>
        <w:numPr>
          <w:ilvl w:val="0"/>
          <w:numId w:val="1"/>
        </w:numPr>
        <w:pBdr>
          <w:top w:val="nil"/>
          <w:left w:val="nil"/>
          <w:bottom w:val="nil"/>
          <w:right w:val="nil"/>
          <w:between w:val="nil"/>
        </w:pBdr>
        <w:tabs>
          <w:tab w:val="left" w:pos="540"/>
        </w:tabs>
        <w:ind w:right="-480"/>
        <w:rPr>
          <w:color w:val="000000"/>
          <w:sz w:val="20"/>
          <w:szCs w:val="20"/>
        </w:rPr>
      </w:pPr>
      <w:r>
        <w:rPr>
          <w:b/>
          <w:color w:val="000000"/>
          <w:sz w:val="20"/>
          <w:szCs w:val="20"/>
        </w:rPr>
        <w:t xml:space="preserve">Master Lease. </w:t>
      </w:r>
      <w:r>
        <w:rPr>
          <w:color w:val="000000"/>
          <w:sz w:val="20"/>
          <w:szCs w:val="20"/>
        </w:rPr>
        <w:t>This Sublease must follow and is subject to the original lease agreement between</w:t>
      </w:r>
      <w:r>
        <w:rPr>
          <w:noProof/>
        </w:rPr>
        <mc:AlternateContent>
          <mc:Choice Requires="wpg">
            <w:drawing>
              <wp:anchor distT="0" distB="0" distL="0" distR="0" simplePos="0" relativeHeight="251658240" behindDoc="0" locked="0" layoutInCell="1" hidden="0" allowOverlap="1" wp14:anchorId="155B8224" wp14:editId="729C5626">
                <wp:simplePos x="0" y="0"/>
                <wp:positionH relativeFrom="column">
                  <wp:posOffset>390525</wp:posOffset>
                </wp:positionH>
                <wp:positionV relativeFrom="paragraph">
                  <wp:posOffset>41263</wp:posOffset>
                </wp:positionV>
                <wp:extent cx="5833110" cy="451485"/>
                <wp:effectExtent l="0" t="0" r="0" b="0"/>
                <wp:wrapTopAndBottom distT="0" distB="0"/>
                <wp:docPr id="6" name="Group 6"/>
                <wp:cNvGraphicFramePr/>
                <a:graphic xmlns:a="http://schemas.openxmlformats.org/drawingml/2006/main">
                  <a:graphicData uri="http://schemas.microsoft.com/office/word/2010/wordprocessingGroup">
                    <wpg:wgp>
                      <wpg:cNvGrpSpPr/>
                      <wpg:grpSpPr>
                        <a:xfrm>
                          <a:off x="0" y="0"/>
                          <a:ext cx="5833110" cy="451485"/>
                          <a:chOff x="2429425" y="3554250"/>
                          <a:chExt cx="5833150" cy="451500"/>
                        </a:xfrm>
                      </wpg:grpSpPr>
                      <wpg:grpSp>
                        <wpg:cNvPr id="939948649" name="Group 939948649"/>
                        <wpg:cNvGrpSpPr/>
                        <wpg:grpSpPr>
                          <a:xfrm>
                            <a:off x="2429445" y="3554258"/>
                            <a:ext cx="5833110" cy="451485"/>
                            <a:chOff x="1038" y="519"/>
                            <a:chExt cx="9186" cy="711"/>
                          </a:xfrm>
                        </wpg:grpSpPr>
                        <wps:wsp>
                          <wps:cNvPr id="1909101166" name="Rectangle 1909101166"/>
                          <wps:cNvSpPr/>
                          <wps:spPr>
                            <a:xfrm>
                              <a:off x="1038" y="519"/>
                              <a:ext cx="9175" cy="700"/>
                            </a:xfrm>
                            <a:prstGeom prst="rect">
                              <a:avLst/>
                            </a:prstGeom>
                            <a:noFill/>
                            <a:ln>
                              <a:noFill/>
                            </a:ln>
                          </wps:spPr>
                          <wps:txbx>
                            <w:txbxContent>
                              <w:p w14:paraId="2B98C802" w14:textId="77777777" w:rsidR="002F5190" w:rsidRDefault="002F5190">
                                <w:pPr>
                                  <w:textDirection w:val="btLr"/>
                                </w:pPr>
                              </w:p>
                            </w:txbxContent>
                          </wps:txbx>
                          <wps:bodyPr spcFirstLastPara="1" wrap="square" lIns="91425" tIns="91425" rIns="91425" bIns="91425" anchor="ctr" anchorCtr="0">
                            <a:noAutofit/>
                          </wps:bodyPr>
                        </wps:wsp>
                        <wps:wsp>
                          <wps:cNvPr id="70725558" name="Rectangle 70725558"/>
                          <wps:cNvSpPr/>
                          <wps:spPr>
                            <a:xfrm>
                              <a:off x="1038" y="519"/>
                              <a:ext cx="9186" cy="711"/>
                            </a:xfrm>
                            <a:prstGeom prst="rect">
                              <a:avLst/>
                            </a:prstGeom>
                            <a:solidFill>
                              <a:srgbClr val="FFFFFF"/>
                            </a:solidFill>
                            <a:ln>
                              <a:noFill/>
                            </a:ln>
                          </wps:spPr>
                          <wps:txbx>
                            <w:txbxContent>
                              <w:p w14:paraId="1EFF9B4F" w14:textId="77777777" w:rsidR="002F5190" w:rsidRDefault="002F5190">
                                <w:pPr>
                                  <w:textDirection w:val="btLr"/>
                                </w:pPr>
                              </w:p>
                            </w:txbxContent>
                          </wps:txbx>
                          <wps:bodyPr spcFirstLastPara="1" wrap="square" lIns="91425" tIns="91425" rIns="91425" bIns="91425" anchor="ctr" anchorCtr="0">
                            <a:noAutofit/>
                          </wps:bodyPr>
                        </wps:wsp>
                        <wps:wsp>
                          <wps:cNvPr id="570834942" name="Rectangle 570834942"/>
                          <wps:cNvSpPr/>
                          <wps:spPr>
                            <a:xfrm>
                              <a:off x="1038" y="519"/>
                              <a:ext cx="9186" cy="711"/>
                            </a:xfrm>
                            <a:prstGeom prst="rect">
                              <a:avLst/>
                            </a:prstGeom>
                            <a:noFill/>
                            <a:ln>
                              <a:noFill/>
                            </a:ln>
                          </wps:spPr>
                          <wps:txbx>
                            <w:txbxContent>
                              <w:p w14:paraId="4CBE154C" w14:textId="77777777" w:rsidR="002F5190" w:rsidRDefault="00000000">
                                <w:pPr>
                                  <w:spacing w:before="45"/>
                                  <w:ind w:left="76" w:right="123" w:firstLine="76"/>
                                  <w:textDirection w:val="btLr"/>
                                </w:pPr>
                                <w:r>
                                  <w:rPr>
                                    <w:color w:val="000000"/>
                                    <w:sz w:val="20"/>
                                  </w:rPr>
                                  <w:t xml:space="preserve">Sublessor is responsible to </w:t>
                                </w:r>
                                <w:proofErr w:type="gramStart"/>
                                <w:r>
                                  <w:rPr>
                                    <w:color w:val="000000"/>
                                    <w:sz w:val="20"/>
                                  </w:rPr>
                                  <w:t>insure</w:t>
                                </w:r>
                                <w:proofErr w:type="gramEnd"/>
                                <w:r>
                                  <w:rPr>
                                    <w:color w:val="000000"/>
                                    <w:sz w:val="20"/>
                                  </w:rPr>
                                  <w:t xml:space="preserve"> the unit is clean and under a good condition. </w:t>
                                </w:r>
                              </w:p>
                            </w:txbxContent>
                          </wps:txbx>
                          <wps:bodyPr spcFirstLastPara="1" wrap="square" lIns="0" tIns="0" rIns="0" bIns="0" anchor="t" anchorCtr="0">
                            <a:noAutofit/>
                          </wps:bodyPr>
                        </wps:wsp>
                      </wpg:grpSp>
                    </wpg:wgp>
                  </a:graphicData>
                </a:graphic>
              </wp:anchor>
            </w:drawing>
          </mc:Choice>
          <mc:Fallback>
            <w:pict>
              <v:group w14:anchorId="155B8224" id="Group 6" o:spid="_x0000_s1026" style="position:absolute;left:0;text-align:left;margin-left:30.75pt;margin-top:3.25pt;width:459.3pt;height:35.55pt;z-index:251658240;mso-wrap-distance-left:0;mso-wrap-distance-right:0" coordorigin="24294,35542" coordsize="58331,4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">
                <v:group id="Group 939948649" o:spid="_x0000_s1027" style="position:absolute;left:24294;top:35542;width:58331;height:4515" coordorigin="1038,519" coordsize="9186,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">
                  <v:rect id="Rectangle 1909101166" o:spid="_x0000_s1028" style="position:absolute;left:1038;top:519;width:9175;height: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" filled="f" stroked="f">
                    <v:textbox inset="2.53958mm,2.53958mm,2.53958mm,2.53958mm">
                      <w:txbxContent>
                        <w:p w14:paraId="2B98C802" w14:textId="77777777" w:rsidR="002F5190" w:rsidRDefault="002F5190">
                          <w:pPr>
                            <w:textDirection w:val="btLr"/>
                          </w:pPr>
                        </w:p>
                      </w:txbxContent>
                    </v:textbox>
                  </v:rect>
                  <v:rect id="Rectangle 70725558" o:spid="_x0000_s1029" style="position:absolute;left:1038;top:519;width:9186;height: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" stroked="f">
                    <v:textbox inset="2.53958mm,2.53958mm,2.53958mm,2.53958mm">
                      <w:txbxContent>
                        <w:p w14:paraId="1EFF9B4F" w14:textId="77777777" w:rsidR="002F5190" w:rsidRDefault="002F5190">
                          <w:pPr>
                            <w:textDirection w:val="btLr"/>
                          </w:pPr>
                        </w:p>
                      </w:txbxContent>
                    </v:textbox>
                  </v:rect>
                  <v:rect id="Rectangle 570834942" o:spid="_x0000_s1030" style="position:absolute;left:1038;top:519;width:9186;height: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" filled="f" stroked="f">
                    <v:textbox inset="0,0,0,0">
                      <w:txbxContent>
                        <w:p w14:paraId="4CBE154C" w14:textId="77777777" w:rsidR="002F5190" w:rsidRDefault="00000000">
                          <w:pPr>
                            <w:spacing w:before="45"/>
                            <w:ind w:left="76" w:right="123" w:firstLine="76"/>
                            <w:textDirection w:val="btLr"/>
                          </w:pPr>
                          <w:r>
                            <w:rPr>
                              <w:color w:val="000000"/>
                              <w:sz w:val="20"/>
                            </w:rPr>
                            <w:t xml:space="preserve">Sublessor is responsible to </w:t>
                          </w:r>
                          <w:proofErr w:type="gramStart"/>
                          <w:r>
                            <w:rPr>
                              <w:color w:val="000000"/>
                              <w:sz w:val="20"/>
                            </w:rPr>
                            <w:t>insure</w:t>
                          </w:r>
                          <w:proofErr w:type="gramEnd"/>
                          <w:r>
                            <w:rPr>
                              <w:color w:val="000000"/>
                              <w:sz w:val="20"/>
                            </w:rPr>
                            <w:t xml:space="preserve"> the unit is clean and under a good condition. </w:t>
                          </w:r>
                        </w:p>
                      </w:txbxContent>
                    </v:textbox>
                  </v:rect>
                </v:group>
                <w10:wrap type="topAndBottom"/>
              </v:group>
            </w:pict>
          </mc:Fallback>
        </mc:AlternateContent>
      </w:r>
    </w:p>
    <w:p w14:paraId="673C9D84" w14:textId="77777777" w:rsidR="002F5190" w:rsidRDefault="00000000">
      <w:pPr>
        <w:pBdr>
          <w:top w:val="nil"/>
          <w:left w:val="nil"/>
          <w:bottom w:val="nil"/>
          <w:right w:val="nil"/>
          <w:between w:val="nil"/>
        </w:pBdr>
        <w:spacing w:before="24"/>
        <w:ind w:left="215" w:right="-480"/>
        <w:rPr>
          <w:color w:val="000000"/>
          <w:sz w:val="20"/>
          <w:szCs w:val="20"/>
        </w:rPr>
        <w:sectPr w:rsidR="002F5190">
          <w:footerReference w:type="default" r:id="rId8"/>
          <w:pgSz w:w="12240" w:h="15840"/>
          <w:pgMar w:top="1220" w:right="1720" w:bottom="980" w:left="920" w:header="720" w:footer="784" w:gutter="0"/>
          <w:pgNumType w:start="1"/>
          <w:cols w:space="720"/>
        </w:sectPr>
      </w:pPr>
      <w:r>
        <w:rPr>
          <w:color w:val="000000"/>
          <w:sz w:val="20"/>
          <w:szCs w:val="20"/>
        </w:rPr>
        <w:t>the Sublessor and Landlord, a copy of which the Sublessor agrees to give to the Sublessee, and which is</w:t>
      </w:r>
    </w:p>
    <w:p w14:paraId="1B73B057" w14:textId="77777777" w:rsidR="002F5190" w:rsidRDefault="00000000">
      <w:pPr>
        <w:pBdr>
          <w:top w:val="nil"/>
          <w:left w:val="nil"/>
          <w:bottom w:val="nil"/>
          <w:right w:val="nil"/>
          <w:between w:val="nil"/>
        </w:pBdr>
        <w:spacing w:before="69" w:line="288" w:lineRule="auto"/>
        <w:ind w:left="215" w:right="-480"/>
        <w:rPr>
          <w:color w:val="000000"/>
          <w:sz w:val="20"/>
          <w:szCs w:val="20"/>
        </w:rPr>
      </w:pPr>
      <w:r>
        <w:rPr>
          <w:color w:val="000000"/>
          <w:sz w:val="20"/>
          <w:szCs w:val="20"/>
        </w:rPr>
        <w:lastRenderedPageBreak/>
        <w:t xml:space="preserve">hereby referred to and incorporated as if it were set out here at length. The Sublessee agrees to assume </w:t>
      </w:r>
      <w:proofErr w:type="gramStart"/>
      <w:r>
        <w:rPr>
          <w:color w:val="000000"/>
          <w:sz w:val="20"/>
          <w:szCs w:val="20"/>
        </w:rPr>
        <w:t>all of</w:t>
      </w:r>
      <w:proofErr w:type="gramEnd"/>
      <w:r>
        <w:rPr>
          <w:color w:val="000000"/>
          <w:sz w:val="20"/>
          <w:szCs w:val="20"/>
        </w:rPr>
        <w:t xml:space="preserve"> the obligations and responsibilities of the Sublessor under the original lease for the duration of</w:t>
      </w:r>
    </w:p>
    <w:p w14:paraId="4040B5D9" w14:textId="77777777" w:rsidR="002F5190" w:rsidRDefault="00000000">
      <w:pPr>
        <w:pBdr>
          <w:top w:val="nil"/>
          <w:left w:val="nil"/>
          <w:bottom w:val="nil"/>
          <w:right w:val="nil"/>
          <w:between w:val="nil"/>
        </w:pBdr>
        <w:ind w:left="215" w:right="-480"/>
        <w:rPr>
          <w:color w:val="000000"/>
          <w:sz w:val="20"/>
          <w:szCs w:val="20"/>
        </w:rPr>
      </w:pPr>
      <w:r>
        <w:rPr>
          <w:color w:val="000000"/>
          <w:sz w:val="20"/>
          <w:szCs w:val="20"/>
        </w:rPr>
        <w:t>the Sublease.</w:t>
      </w:r>
    </w:p>
    <w:p w14:paraId="0D8D212C" w14:textId="77777777" w:rsidR="002F5190" w:rsidRDefault="002F5190">
      <w:pPr>
        <w:pBdr>
          <w:top w:val="nil"/>
          <w:left w:val="nil"/>
          <w:bottom w:val="nil"/>
          <w:right w:val="nil"/>
          <w:between w:val="nil"/>
        </w:pBdr>
        <w:ind w:left="215" w:right="-480"/>
        <w:rPr>
          <w:color w:val="000000"/>
          <w:sz w:val="28"/>
          <w:szCs w:val="28"/>
        </w:rPr>
      </w:pPr>
    </w:p>
    <w:p w14:paraId="7A3E5891" w14:textId="77777777" w:rsidR="002F5190" w:rsidRDefault="00000000">
      <w:pPr>
        <w:numPr>
          <w:ilvl w:val="0"/>
          <w:numId w:val="1"/>
        </w:numPr>
        <w:pBdr>
          <w:top w:val="nil"/>
          <w:left w:val="nil"/>
          <w:bottom w:val="nil"/>
          <w:right w:val="nil"/>
          <w:between w:val="nil"/>
        </w:pBdr>
        <w:tabs>
          <w:tab w:val="left" w:pos="471"/>
        </w:tabs>
        <w:spacing w:line="273" w:lineRule="auto"/>
        <w:ind w:right="-480"/>
        <w:rPr>
          <w:color w:val="000000"/>
          <w:sz w:val="20"/>
          <w:szCs w:val="20"/>
        </w:rPr>
      </w:pPr>
      <w:r>
        <w:rPr>
          <w:b/>
          <w:color w:val="000000"/>
          <w:sz w:val="20"/>
          <w:szCs w:val="20"/>
        </w:rPr>
        <w:t xml:space="preserve">Disputes. </w:t>
      </w:r>
      <w:r>
        <w:rPr>
          <w:color w:val="000000"/>
          <w:sz w:val="20"/>
          <w:szCs w:val="20"/>
        </w:rPr>
        <w:t xml:space="preserve">If a dispute arises during or after the term of this Sublease between the Sublessor and Sublessee, they shall agree to </w:t>
      </w:r>
      <w:proofErr w:type="gramStart"/>
      <w:r>
        <w:rPr>
          <w:color w:val="000000"/>
          <w:sz w:val="20"/>
          <w:szCs w:val="20"/>
        </w:rPr>
        <w:t>hold negotiations</w:t>
      </w:r>
      <w:proofErr w:type="gramEnd"/>
      <w:r>
        <w:rPr>
          <w:color w:val="000000"/>
          <w:sz w:val="20"/>
          <w:szCs w:val="20"/>
        </w:rPr>
        <w:t xml:space="preserve"> amongst themselves before any litigation.</w:t>
      </w:r>
    </w:p>
    <w:p w14:paraId="44D8ACBC" w14:textId="77777777" w:rsidR="002F5190" w:rsidRDefault="002F5190">
      <w:pPr>
        <w:pBdr>
          <w:top w:val="nil"/>
          <w:left w:val="nil"/>
          <w:bottom w:val="nil"/>
          <w:right w:val="nil"/>
          <w:between w:val="nil"/>
        </w:pBdr>
        <w:spacing w:before="2"/>
        <w:ind w:left="215" w:right="-480"/>
        <w:rPr>
          <w:color w:val="000000"/>
          <w:sz w:val="25"/>
          <w:szCs w:val="25"/>
        </w:rPr>
      </w:pPr>
    </w:p>
    <w:p w14:paraId="47677E17" w14:textId="77777777" w:rsidR="002F5190" w:rsidRDefault="00000000">
      <w:pPr>
        <w:numPr>
          <w:ilvl w:val="0"/>
          <w:numId w:val="1"/>
        </w:numPr>
        <w:pBdr>
          <w:top w:val="nil"/>
          <w:left w:val="nil"/>
          <w:bottom w:val="nil"/>
          <w:right w:val="nil"/>
          <w:between w:val="nil"/>
        </w:pBdr>
        <w:tabs>
          <w:tab w:val="left" w:pos="731"/>
          <w:tab w:val="left" w:pos="732"/>
        </w:tabs>
        <w:spacing w:line="285" w:lineRule="auto"/>
        <w:ind w:right="-480"/>
        <w:rPr>
          <w:color w:val="000000"/>
          <w:sz w:val="20"/>
          <w:szCs w:val="20"/>
        </w:rPr>
      </w:pPr>
      <w:r>
        <w:rPr>
          <w:b/>
          <w:color w:val="000000"/>
          <w:sz w:val="20"/>
          <w:szCs w:val="20"/>
        </w:rPr>
        <w:t xml:space="preserve">Written Agreement. </w:t>
      </w:r>
      <w:r>
        <w:rPr>
          <w:color w:val="000000"/>
          <w:sz w:val="20"/>
          <w:szCs w:val="20"/>
        </w:rPr>
        <w:t>This Sublease constitutes the sole agreement between the Sublessor and Sublessee with no additions, deletions, or modifications that may be accomplished without the written consent of both parties (ANY ORAL REPRESENTATIONS MADE AT THE TIME OF EXECUTING THIS LEASE ARE NOT LEGALLY VALID AND, THEREFORE, ARE NOT BINDING UPONEITHER PARTY).</w:t>
      </w:r>
    </w:p>
    <w:p w14:paraId="685D115E" w14:textId="77777777" w:rsidR="002F5190" w:rsidRDefault="002F5190">
      <w:pPr>
        <w:pBdr>
          <w:top w:val="nil"/>
          <w:left w:val="nil"/>
          <w:bottom w:val="nil"/>
          <w:right w:val="nil"/>
          <w:between w:val="nil"/>
        </w:pBdr>
        <w:spacing w:before="5"/>
        <w:ind w:left="215" w:right="-480"/>
        <w:rPr>
          <w:color w:val="000000"/>
          <w:sz w:val="28"/>
          <w:szCs w:val="28"/>
        </w:rPr>
      </w:pPr>
    </w:p>
    <w:p w14:paraId="55703B42" w14:textId="77777777" w:rsidR="002F5190" w:rsidRDefault="00000000">
      <w:pPr>
        <w:numPr>
          <w:ilvl w:val="0"/>
          <w:numId w:val="1"/>
        </w:numPr>
        <w:pBdr>
          <w:top w:val="nil"/>
          <w:left w:val="nil"/>
          <w:bottom w:val="nil"/>
          <w:right w:val="nil"/>
          <w:between w:val="nil"/>
        </w:pBdr>
        <w:tabs>
          <w:tab w:val="left" w:pos="697"/>
          <w:tab w:val="left" w:pos="699"/>
        </w:tabs>
        <w:spacing w:before="1" w:line="273" w:lineRule="auto"/>
        <w:ind w:right="-480"/>
        <w:rPr>
          <w:color w:val="000000"/>
          <w:sz w:val="20"/>
          <w:szCs w:val="20"/>
        </w:rPr>
      </w:pPr>
      <w:r>
        <w:rPr>
          <w:b/>
          <w:color w:val="000000"/>
          <w:sz w:val="20"/>
          <w:szCs w:val="20"/>
        </w:rPr>
        <w:t xml:space="preserve">Language. </w:t>
      </w:r>
      <w:r>
        <w:rPr>
          <w:color w:val="000000"/>
          <w:sz w:val="20"/>
          <w:szCs w:val="20"/>
        </w:rPr>
        <w:t>The words “Sublessor” and “Sublessee” as used herein include the plural as well as the singular; the language in this Sublease intends no regard for gender.</w:t>
      </w:r>
    </w:p>
    <w:p w14:paraId="4D9E3355" w14:textId="77777777" w:rsidR="002F5190" w:rsidRDefault="002F5190">
      <w:pPr>
        <w:pBdr>
          <w:top w:val="nil"/>
          <w:left w:val="nil"/>
          <w:bottom w:val="nil"/>
          <w:right w:val="nil"/>
          <w:between w:val="nil"/>
        </w:pBdr>
        <w:spacing w:before="2"/>
        <w:ind w:left="215" w:right="-480"/>
        <w:rPr>
          <w:color w:val="000000"/>
          <w:sz w:val="25"/>
          <w:szCs w:val="25"/>
        </w:rPr>
      </w:pPr>
    </w:p>
    <w:p w14:paraId="49243459" w14:textId="77777777" w:rsidR="002F5190" w:rsidRDefault="00000000">
      <w:pPr>
        <w:numPr>
          <w:ilvl w:val="0"/>
          <w:numId w:val="1"/>
        </w:numPr>
        <w:pBdr>
          <w:top w:val="nil"/>
          <w:left w:val="nil"/>
          <w:bottom w:val="nil"/>
          <w:right w:val="nil"/>
          <w:between w:val="nil"/>
        </w:pBdr>
        <w:tabs>
          <w:tab w:val="left" w:pos="696"/>
        </w:tabs>
        <w:spacing w:line="273" w:lineRule="auto"/>
        <w:ind w:right="-480"/>
        <w:rPr>
          <w:color w:val="000000"/>
          <w:sz w:val="20"/>
          <w:szCs w:val="20"/>
        </w:rPr>
      </w:pPr>
      <w:r>
        <w:rPr>
          <w:b/>
          <w:color w:val="000000"/>
          <w:sz w:val="20"/>
          <w:szCs w:val="20"/>
        </w:rPr>
        <w:t xml:space="preserve">Original Copies. </w:t>
      </w:r>
      <w:r>
        <w:rPr>
          <w:color w:val="000000"/>
          <w:sz w:val="20"/>
          <w:szCs w:val="20"/>
        </w:rPr>
        <w:t>Each signatory to this Sublease acknowledges receipt of an executed copy thereof.</w:t>
      </w:r>
    </w:p>
    <w:p w14:paraId="0CF90676" w14:textId="77777777" w:rsidR="002F5190" w:rsidRDefault="002F5190">
      <w:pPr>
        <w:pBdr>
          <w:top w:val="nil"/>
          <w:left w:val="nil"/>
          <w:bottom w:val="nil"/>
          <w:right w:val="nil"/>
          <w:between w:val="nil"/>
        </w:pBdr>
        <w:spacing w:before="4"/>
        <w:ind w:left="215" w:right="-480"/>
        <w:rPr>
          <w:color w:val="000000"/>
          <w:sz w:val="24"/>
          <w:szCs w:val="24"/>
        </w:rPr>
      </w:pPr>
    </w:p>
    <w:p w14:paraId="4879A553" w14:textId="77777777" w:rsidR="002F5190" w:rsidRDefault="00000000">
      <w:pPr>
        <w:numPr>
          <w:ilvl w:val="0"/>
          <w:numId w:val="1"/>
        </w:numPr>
        <w:pBdr>
          <w:top w:val="nil"/>
          <w:left w:val="nil"/>
          <w:bottom w:val="nil"/>
          <w:right w:val="nil"/>
          <w:between w:val="nil"/>
        </w:pBdr>
        <w:tabs>
          <w:tab w:val="left" w:pos="696"/>
        </w:tabs>
        <w:spacing w:before="1" w:line="273" w:lineRule="auto"/>
        <w:ind w:right="-480"/>
        <w:rPr>
          <w:color w:val="000000"/>
          <w:sz w:val="20"/>
          <w:szCs w:val="20"/>
        </w:rPr>
      </w:pPr>
      <w:r>
        <w:rPr>
          <w:b/>
          <w:color w:val="000000"/>
          <w:sz w:val="20"/>
          <w:szCs w:val="20"/>
        </w:rPr>
        <w:t xml:space="preserve">Governing Law. </w:t>
      </w:r>
      <w:r>
        <w:rPr>
          <w:color w:val="000000"/>
          <w:sz w:val="20"/>
          <w:szCs w:val="20"/>
        </w:rPr>
        <w:t>This Sublease shall be bound to the laws in the State where the Premises is located.</w:t>
      </w:r>
    </w:p>
    <w:p w14:paraId="7DC82D6D" w14:textId="77777777" w:rsidR="002F5190" w:rsidRDefault="002F5190">
      <w:pPr>
        <w:pBdr>
          <w:top w:val="nil"/>
          <w:left w:val="nil"/>
          <w:bottom w:val="nil"/>
          <w:right w:val="nil"/>
          <w:between w:val="nil"/>
        </w:pBdr>
        <w:tabs>
          <w:tab w:val="left" w:pos="696"/>
        </w:tabs>
        <w:spacing w:before="1" w:line="273" w:lineRule="auto"/>
        <w:ind w:left="215" w:right="-480"/>
        <w:rPr>
          <w:color w:val="000000"/>
          <w:sz w:val="20"/>
          <w:szCs w:val="20"/>
        </w:rPr>
      </w:pPr>
    </w:p>
    <w:p w14:paraId="0383AB5B" w14:textId="77777777" w:rsidR="002F5190" w:rsidRDefault="00000000">
      <w:pPr>
        <w:numPr>
          <w:ilvl w:val="0"/>
          <w:numId w:val="1"/>
        </w:numPr>
        <w:pBdr>
          <w:top w:val="nil"/>
          <w:left w:val="nil"/>
          <w:bottom w:val="nil"/>
          <w:right w:val="nil"/>
          <w:between w:val="nil"/>
        </w:pBdr>
        <w:tabs>
          <w:tab w:val="left" w:pos="696"/>
        </w:tabs>
        <w:spacing w:before="1" w:line="273" w:lineRule="auto"/>
        <w:ind w:right="-480"/>
        <w:rPr>
          <w:color w:val="000000"/>
          <w:sz w:val="20"/>
          <w:szCs w:val="20"/>
        </w:rPr>
      </w:pPr>
      <w:r>
        <w:t xml:space="preserve">Deposit. The Deposit is 900 RMB paid by sublessee. If there are no guarantee issues because of the damage happened during the sublease before the new year lease, this 900 RMB would be used as the rent of last half </w:t>
      </w:r>
      <w:proofErr w:type="gramStart"/>
      <w:r>
        <w:t>month.(</w:t>
      </w:r>
      <w:proofErr w:type="gramEnd"/>
      <w:r>
        <w:t>see amended terms below)</w:t>
      </w:r>
    </w:p>
    <w:p w14:paraId="6D51862A" w14:textId="77777777" w:rsidR="002F5190" w:rsidRDefault="00000000">
      <w:r>
        <w:t xml:space="preserve">A prepayment of 600 RMB has already been made and will be deducted from the first month's rent. On the move-in date, the Sublessee will transfer 900 RMB as a full deposit and the Sublessor will refund the 600 RMB prepayment, resulting in a net payment of 300 RMB. The full 900 RMB deposit will be returned upon </w:t>
      </w:r>
      <w:proofErr w:type="gramStart"/>
      <w:r>
        <w:t>move</w:t>
      </w:r>
      <w:proofErr w:type="gramEnd"/>
      <w:r>
        <w:t>-out on August 20, 2024, provided that the premises are in original condition and no damage or loss is identified after inspection.</w:t>
      </w:r>
    </w:p>
    <w:p w14:paraId="6B94FDBB" w14:textId="77777777" w:rsidR="002F5190" w:rsidRDefault="00000000">
      <w:pPr>
        <w:rPr>
          <w:rFonts w:eastAsiaTheme="minorEastAsia"/>
          <w:lang w:eastAsia="zh-CN"/>
        </w:rPr>
      </w:pPr>
      <w:r>
        <w:t>Rent shall be paid on the following dates:</w:t>
      </w:r>
      <w:r>
        <w:br/>
        <w:t>- June 10 (for June 10 – July 10)</w:t>
      </w:r>
      <w:r>
        <w:br/>
        <w:t>- July 10 (for July 10 – August 10)</w:t>
      </w:r>
      <w:r>
        <w:br/>
        <w:t>- August 10 (for August 10 – August 20, calculated pro rata).</w:t>
      </w:r>
    </w:p>
    <w:p w14:paraId="7DA7D7E2" w14:textId="77777777" w:rsidR="00650B87" w:rsidRDefault="00650B87">
      <w:pPr>
        <w:rPr>
          <w:rFonts w:eastAsiaTheme="minorEastAsia"/>
          <w:lang w:eastAsia="zh-CN"/>
        </w:rPr>
      </w:pPr>
    </w:p>
    <w:p w14:paraId="65461322" w14:textId="77777777" w:rsidR="00650B87" w:rsidRDefault="00650B87" w:rsidP="00650B87">
      <w:r>
        <w:t>Move-out Responsibilities:</w:t>
      </w:r>
      <w:r>
        <w:br/>
        <w:t>Sublessee shall vacate the premises by the morning of August 20, 2024. The key must be left on the kitchen table. Sublessee shall clean and return the room to its original condition. Any furniture or household items used must be properly handed over to the next tenant.</w:t>
      </w:r>
    </w:p>
    <w:p w14:paraId="6C67CD91" w14:textId="77777777" w:rsidR="00650B87" w:rsidRPr="00650B87" w:rsidRDefault="00650B87">
      <w:pPr>
        <w:rPr>
          <w:rFonts w:eastAsiaTheme="minorEastAsia" w:hint="eastAsia"/>
          <w:lang w:eastAsia="zh-CN"/>
        </w:rPr>
      </w:pPr>
    </w:p>
    <w:p w14:paraId="4DD6CE2B" w14:textId="77777777" w:rsidR="002F5190" w:rsidRDefault="002F5190">
      <w:pPr>
        <w:pBdr>
          <w:top w:val="nil"/>
          <w:left w:val="nil"/>
          <w:bottom w:val="nil"/>
          <w:right w:val="nil"/>
          <w:between w:val="nil"/>
        </w:pBdr>
        <w:spacing w:before="1"/>
        <w:ind w:left="215" w:right="-480"/>
        <w:rPr>
          <w:color w:val="000000"/>
          <w:sz w:val="25"/>
          <w:szCs w:val="25"/>
        </w:rPr>
      </w:pPr>
    </w:p>
    <w:p w14:paraId="44B01C5D" w14:textId="3F49A0AD" w:rsidR="002F5190" w:rsidRDefault="00000000">
      <w:pPr>
        <w:numPr>
          <w:ilvl w:val="0"/>
          <w:numId w:val="1"/>
        </w:numPr>
        <w:pBdr>
          <w:top w:val="nil"/>
          <w:left w:val="nil"/>
          <w:bottom w:val="nil"/>
          <w:right w:val="nil"/>
          <w:between w:val="nil"/>
        </w:pBdr>
        <w:tabs>
          <w:tab w:val="left" w:pos="911"/>
        </w:tabs>
        <w:ind w:right="-480"/>
        <w:rPr>
          <w:color w:val="000000"/>
          <w:sz w:val="20"/>
          <w:szCs w:val="20"/>
        </w:rPr>
      </w:pPr>
      <w:r>
        <w:rPr>
          <w:b/>
          <w:color w:val="000000"/>
          <w:sz w:val="20"/>
          <w:szCs w:val="20"/>
        </w:rPr>
        <w:t xml:space="preserve">Date &amp; Signature. </w:t>
      </w:r>
      <w:r>
        <w:rPr>
          <w:color w:val="000000"/>
          <w:sz w:val="20"/>
          <w:szCs w:val="20"/>
        </w:rPr>
        <w:t xml:space="preserve">The parties hereby bind themselves to this agreement by their authorization affixed below on </w:t>
      </w:r>
      <w:r>
        <w:rPr>
          <w:rFonts w:ascii="Arial Bold" w:eastAsia="Arial Bold" w:hAnsi="Arial Bold" w:cs="Arial Bold"/>
          <w:b/>
          <w:color w:val="000000"/>
          <w:sz w:val="20"/>
          <w:szCs w:val="20"/>
        </w:rPr>
        <w:t xml:space="preserve">May </w:t>
      </w:r>
      <w:r w:rsidR="0077625C">
        <w:rPr>
          <w:rFonts w:ascii="Arial Bold" w:eastAsiaTheme="minorEastAsia" w:hAnsi="Arial Bold" w:cs="Arial Bold" w:hint="eastAsia"/>
          <w:b/>
          <w:color w:val="000000"/>
          <w:sz w:val="20"/>
          <w:szCs w:val="20"/>
          <w:lang w:eastAsia="zh-CN"/>
        </w:rPr>
        <w:t>3</w:t>
      </w:r>
      <w:r>
        <w:rPr>
          <w:rFonts w:ascii="Arial Bold" w:eastAsia="Arial Bold" w:hAnsi="Arial Bold" w:cs="Arial Bold"/>
          <w:b/>
          <w:color w:val="000000"/>
          <w:sz w:val="20"/>
          <w:szCs w:val="20"/>
        </w:rPr>
        <w:t>, 202</w:t>
      </w:r>
      <w:r w:rsidR="0077625C">
        <w:rPr>
          <w:rFonts w:ascii="Arial Bold" w:eastAsiaTheme="minorEastAsia" w:hAnsi="Arial Bold" w:cs="Arial Bold" w:hint="eastAsia"/>
          <w:b/>
          <w:color w:val="000000"/>
          <w:sz w:val="20"/>
          <w:szCs w:val="20"/>
          <w:lang w:eastAsia="zh-CN"/>
        </w:rPr>
        <w:t>5</w:t>
      </w:r>
      <w:r>
        <w:rPr>
          <w:color w:val="000000"/>
          <w:sz w:val="20"/>
          <w:szCs w:val="20"/>
        </w:rPr>
        <w:t>.</w:t>
      </w:r>
    </w:p>
    <w:p w14:paraId="333D0656" w14:textId="77777777" w:rsidR="002F5190" w:rsidRDefault="002F5190">
      <w:pPr>
        <w:pBdr>
          <w:top w:val="nil"/>
          <w:left w:val="nil"/>
          <w:bottom w:val="nil"/>
          <w:right w:val="nil"/>
          <w:between w:val="nil"/>
        </w:pBdr>
        <w:ind w:right="-480"/>
        <w:rPr>
          <w:color w:val="000000"/>
        </w:rPr>
      </w:pPr>
    </w:p>
    <w:p w14:paraId="4728CFF5" w14:textId="77777777" w:rsidR="002F5190" w:rsidRDefault="002F5190">
      <w:pPr>
        <w:pBdr>
          <w:top w:val="nil"/>
          <w:left w:val="nil"/>
          <w:bottom w:val="nil"/>
          <w:right w:val="nil"/>
          <w:between w:val="nil"/>
        </w:pBdr>
        <w:ind w:right="-480"/>
        <w:rPr>
          <w:color w:val="000000"/>
        </w:rPr>
      </w:pPr>
    </w:p>
    <w:p w14:paraId="03BEC51F" w14:textId="77777777" w:rsidR="002F5190" w:rsidRDefault="002F5190">
      <w:pPr>
        <w:pBdr>
          <w:top w:val="nil"/>
          <w:left w:val="nil"/>
          <w:bottom w:val="nil"/>
          <w:right w:val="nil"/>
          <w:between w:val="nil"/>
        </w:pBdr>
        <w:ind w:right="-480"/>
        <w:rPr>
          <w:color w:val="000000"/>
        </w:rPr>
      </w:pPr>
    </w:p>
    <w:p w14:paraId="078C6751" w14:textId="77777777" w:rsidR="002F5190" w:rsidRPr="0089675C" w:rsidRDefault="002F5190">
      <w:pPr>
        <w:pBdr>
          <w:top w:val="nil"/>
          <w:left w:val="nil"/>
          <w:bottom w:val="nil"/>
          <w:right w:val="nil"/>
          <w:between w:val="nil"/>
        </w:pBdr>
        <w:ind w:right="-480"/>
        <w:rPr>
          <w:rFonts w:eastAsiaTheme="minorEastAsia" w:hint="eastAsia"/>
          <w:color w:val="000000"/>
          <w:lang w:eastAsia="zh-CN"/>
        </w:rPr>
      </w:pPr>
    </w:p>
    <w:p w14:paraId="30645562" w14:textId="77777777" w:rsidR="002F5190" w:rsidRDefault="002F5190">
      <w:pPr>
        <w:pBdr>
          <w:top w:val="nil"/>
          <w:left w:val="nil"/>
          <w:bottom w:val="nil"/>
          <w:right w:val="nil"/>
          <w:between w:val="nil"/>
        </w:pBdr>
        <w:ind w:right="-480"/>
        <w:rPr>
          <w:color w:val="000000"/>
        </w:rPr>
      </w:pPr>
    </w:p>
    <w:p w14:paraId="142C6AF8" w14:textId="77777777" w:rsidR="002F5190" w:rsidRDefault="002F5190">
      <w:pPr>
        <w:pBdr>
          <w:top w:val="nil"/>
          <w:left w:val="nil"/>
          <w:bottom w:val="nil"/>
          <w:right w:val="nil"/>
          <w:between w:val="nil"/>
        </w:pBdr>
        <w:spacing w:before="1"/>
        <w:ind w:right="-480"/>
        <w:rPr>
          <w:color w:val="000000"/>
          <w:sz w:val="19"/>
          <w:szCs w:val="19"/>
        </w:rPr>
      </w:pPr>
    </w:p>
    <w:p w14:paraId="071061D2" w14:textId="23533500" w:rsidR="002F5190" w:rsidRDefault="00000000">
      <w:pPr>
        <w:pStyle w:val="Heading1"/>
        <w:tabs>
          <w:tab w:val="left" w:pos="7525"/>
        </w:tabs>
        <w:spacing w:line="219" w:lineRule="auto"/>
        <w:ind w:left="227" w:right="-480"/>
        <w:rPr>
          <w:color w:val="FF0000"/>
        </w:rPr>
      </w:pPr>
      <w:r>
        <w:t xml:space="preserve">Sublessor's Signature   </w:t>
      </w:r>
      <w:r>
        <w:rPr>
          <w:u w:val="single"/>
        </w:rPr>
        <w:t xml:space="preserve"> </w:t>
      </w:r>
      <w:r>
        <w:rPr>
          <w:u w:val="single"/>
        </w:rPr>
        <w:tab/>
      </w:r>
    </w:p>
    <w:p w14:paraId="1A8571D5" w14:textId="77777777" w:rsidR="002F5190" w:rsidRDefault="002F5190">
      <w:pPr>
        <w:pBdr>
          <w:top w:val="nil"/>
          <w:left w:val="nil"/>
          <w:bottom w:val="nil"/>
          <w:right w:val="nil"/>
          <w:between w:val="nil"/>
        </w:pBdr>
        <w:ind w:right="-480"/>
        <w:rPr>
          <w:color w:val="000000"/>
        </w:rPr>
      </w:pPr>
    </w:p>
    <w:p w14:paraId="0C6CC93B" w14:textId="77777777" w:rsidR="002F5190" w:rsidRDefault="002F5190">
      <w:pPr>
        <w:pBdr>
          <w:top w:val="nil"/>
          <w:left w:val="nil"/>
          <w:bottom w:val="nil"/>
          <w:right w:val="nil"/>
          <w:between w:val="nil"/>
        </w:pBdr>
        <w:ind w:right="-480"/>
        <w:rPr>
          <w:color w:val="000000"/>
        </w:rPr>
      </w:pPr>
    </w:p>
    <w:p w14:paraId="44708F89" w14:textId="77777777" w:rsidR="002F5190" w:rsidRDefault="002F5190">
      <w:pPr>
        <w:pBdr>
          <w:top w:val="nil"/>
          <w:left w:val="nil"/>
          <w:bottom w:val="nil"/>
          <w:right w:val="nil"/>
          <w:between w:val="nil"/>
        </w:pBdr>
        <w:spacing w:before="8"/>
        <w:ind w:right="-480"/>
        <w:rPr>
          <w:color w:val="000000"/>
          <w:sz w:val="29"/>
          <w:szCs w:val="29"/>
        </w:rPr>
      </w:pPr>
    </w:p>
    <w:p w14:paraId="2D3F4FF7" w14:textId="4A25167E" w:rsidR="002F5190" w:rsidRDefault="00000000">
      <w:pPr>
        <w:pStyle w:val="Heading1"/>
        <w:ind w:right="-480" w:firstLine="162"/>
        <w:rPr>
          <w:color w:val="FF0000"/>
        </w:rPr>
      </w:pPr>
      <w:r>
        <w:lastRenderedPageBreak/>
        <w:t xml:space="preserve">Sublessee's Signature      </w:t>
      </w:r>
    </w:p>
    <w:sectPr w:rsidR="002F5190">
      <w:pgSz w:w="12240" w:h="15840"/>
      <w:pgMar w:top="1500" w:right="1720" w:bottom="980" w:left="920" w:header="0" w:footer="7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33A72D" w14:textId="77777777" w:rsidR="00B80827" w:rsidRDefault="00B80827">
      <w:r>
        <w:separator/>
      </w:r>
    </w:p>
  </w:endnote>
  <w:endnote w:type="continuationSeparator" w:id="0">
    <w:p w14:paraId="67EE5F56" w14:textId="77777777" w:rsidR="00B80827" w:rsidRDefault="00B80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Bold">
    <w:panose1 w:val="020B07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819E5" w14:textId="77777777" w:rsidR="002F5190"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14:anchorId="40F04B85" wp14:editId="5D8DFFBC">
              <wp:simplePos x="0" y="0"/>
              <wp:positionH relativeFrom="column">
                <wp:posOffset>6096000</wp:posOffset>
              </wp:positionH>
              <wp:positionV relativeFrom="paragraph">
                <wp:posOffset>9410700</wp:posOffset>
              </wp:positionV>
              <wp:extent cx="403225" cy="203835"/>
              <wp:effectExtent l="0" t="0" r="0" b="0"/>
              <wp:wrapNone/>
              <wp:docPr id="7" name="Rectangle 7"/>
              <wp:cNvGraphicFramePr/>
              <a:graphic xmlns:a="http://schemas.openxmlformats.org/drawingml/2006/main">
                <a:graphicData uri="http://schemas.microsoft.com/office/word/2010/wordprocessingShape">
                  <wps:wsp>
                    <wps:cNvSpPr/>
                    <wps:spPr>
                      <a:xfrm>
                        <a:off x="5149150" y="3682845"/>
                        <a:ext cx="393700" cy="194310"/>
                      </a:xfrm>
                      <a:prstGeom prst="rect">
                        <a:avLst/>
                      </a:prstGeom>
                      <a:noFill/>
                      <a:ln>
                        <a:noFill/>
                      </a:ln>
                    </wps:spPr>
                    <wps:txbx>
                      <w:txbxContent>
                        <w:p w14:paraId="03622699" w14:textId="77777777" w:rsidR="002F5190" w:rsidRDefault="00000000">
                          <w:pPr>
                            <w:spacing w:before="10"/>
                            <w:ind w:left="20"/>
                            <w:textDirection w:val="btLr"/>
                          </w:pPr>
                          <w:proofErr w:type="gramStart"/>
                          <w:r>
                            <w:rPr>
                              <w:rFonts w:ascii="Times New Roman" w:eastAsia="Times New Roman" w:hAnsi="Times New Roman" w:cs="Times New Roman"/>
                              <w:color w:val="000000"/>
                              <w:sz w:val="20"/>
                            </w:rPr>
                            <w:t xml:space="preserve">Page </w:t>
                          </w:r>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PAGE</w:t>
                          </w:r>
                          <w:proofErr w:type="spellEnd"/>
                          <w:proofErr w:type="gramEnd"/>
                          <w:r>
                            <w:rPr>
                              <w:rFonts w:ascii="Times New Roman" w:eastAsia="Times New Roman" w:hAnsi="Times New Roman" w:cs="Times New Roman"/>
                              <w:color w:val="000000"/>
                              <w:sz w:val="24"/>
                            </w:rPr>
                            <w:t xml:space="preserve"> </w:t>
                          </w:r>
                          <w:r>
                            <w:rPr>
                              <w:color w:val="000000"/>
                              <w:sz w:val="20"/>
                            </w:rPr>
                            <w:t>1</w:t>
                          </w:r>
                        </w:p>
                      </w:txbxContent>
                    </wps:txbx>
                    <wps:bodyPr spcFirstLastPara="1" wrap="square" lIns="0" tIns="0" rIns="0" bIns="0" anchor="t" anchorCtr="0">
                      <a:noAutofit/>
                    </wps:bodyPr>
                  </wps:wsp>
                </a:graphicData>
              </a:graphic>
            </wp:anchor>
          </w:drawing>
        </mc:Choice>
        <mc:Fallback>
          <w:pict>
            <v:rect w14:anchorId="40F04B85" id="Rectangle 7" o:spid="_x0000_s1031" style="position:absolute;margin-left:480pt;margin-top:741pt;width:31.75pt;height:16.0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" filled="f" stroked="f">
              <v:textbox inset="0,0,0,0">
                <w:txbxContent>
                  <w:p w14:paraId="03622699" w14:textId="77777777" w:rsidR="002F5190" w:rsidRDefault="00000000">
                    <w:pPr>
                      <w:spacing w:before="10"/>
                      <w:ind w:left="20"/>
                      <w:textDirection w:val="btLr"/>
                    </w:pPr>
                    <w:proofErr w:type="gramStart"/>
                    <w:r>
                      <w:rPr>
                        <w:rFonts w:ascii="Times New Roman" w:eastAsia="Times New Roman" w:hAnsi="Times New Roman" w:cs="Times New Roman"/>
                        <w:color w:val="000000"/>
                        <w:sz w:val="20"/>
                      </w:rPr>
                      <w:t xml:space="preserve">Page </w:t>
                    </w:r>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PAGE</w:t>
                    </w:r>
                    <w:proofErr w:type="spellEnd"/>
                    <w:proofErr w:type="gramEnd"/>
                    <w:r>
                      <w:rPr>
                        <w:rFonts w:ascii="Times New Roman" w:eastAsia="Times New Roman" w:hAnsi="Times New Roman" w:cs="Times New Roman"/>
                        <w:color w:val="000000"/>
                        <w:sz w:val="24"/>
                      </w:rPr>
                      <w:t xml:space="preserve"> </w:t>
                    </w:r>
                    <w:r>
                      <w:rPr>
                        <w:color w:val="000000"/>
                        <w:sz w:val="20"/>
                      </w:rPr>
                      <w:t>1</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C92294" w14:textId="77777777" w:rsidR="00B80827" w:rsidRDefault="00B80827">
      <w:r>
        <w:separator/>
      </w:r>
    </w:p>
  </w:footnote>
  <w:footnote w:type="continuationSeparator" w:id="0">
    <w:p w14:paraId="5ECA7396" w14:textId="77777777" w:rsidR="00B80827" w:rsidRDefault="00B808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60B7"/>
    <w:multiLevelType w:val="multilevel"/>
    <w:tmpl w:val="1FF2F646"/>
    <w:lvl w:ilvl="0">
      <w:start w:val="1"/>
      <w:numFmt w:val="upperRoman"/>
      <w:lvlText w:val="%1."/>
      <w:lvlJc w:val="left"/>
      <w:pPr>
        <w:ind w:left="215" w:hanging="169"/>
      </w:pPr>
      <w:rPr>
        <w:rFonts w:ascii="Arial" w:eastAsia="Arial" w:hAnsi="Arial" w:cs="Arial"/>
        <w:b/>
        <w:sz w:val="20"/>
        <w:szCs w:val="20"/>
      </w:rPr>
    </w:lvl>
    <w:lvl w:ilvl="1">
      <w:numFmt w:val="bullet"/>
      <w:lvlText w:val="•"/>
      <w:lvlJc w:val="left"/>
      <w:pPr>
        <w:ind w:left="1158" w:hanging="169"/>
      </w:pPr>
    </w:lvl>
    <w:lvl w:ilvl="2">
      <w:numFmt w:val="bullet"/>
      <w:lvlText w:val="•"/>
      <w:lvlJc w:val="left"/>
      <w:pPr>
        <w:ind w:left="2096" w:hanging="169"/>
      </w:pPr>
    </w:lvl>
    <w:lvl w:ilvl="3">
      <w:numFmt w:val="bullet"/>
      <w:lvlText w:val="•"/>
      <w:lvlJc w:val="left"/>
      <w:pPr>
        <w:ind w:left="3034" w:hanging="169"/>
      </w:pPr>
    </w:lvl>
    <w:lvl w:ilvl="4">
      <w:numFmt w:val="bullet"/>
      <w:lvlText w:val="•"/>
      <w:lvlJc w:val="left"/>
      <w:pPr>
        <w:ind w:left="3972" w:hanging="169"/>
      </w:pPr>
    </w:lvl>
    <w:lvl w:ilvl="5">
      <w:numFmt w:val="bullet"/>
      <w:lvlText w:val="•"/>
      <w:lvlJc w:val="left"/>
      <w:pPr>
        <w:ind w:left="4910" w:hanging="169"/>
      </w:pPr>
    </w:lvl>
    <w:lvl w:ilvl="6">
      <w:numFmt w:val="bullet"/>
      <w:lvlText w:val="•"/>
      <w:lvlJc w:val="left"/>
      <w:pPr>
        <w:ind w:left="5848" w:hanging="169"/>
      </w:pPr>
    </w:lvl>
    <w:lvl w:ilvl="7">
      <w:numFmt w:val="bullet"/>
      <w:lvlText w:val="•"/>
      <w:lvlJc w:val="left"/>
      <w:pPr>
        <w:ind w:left="6786" w:hanging="169"/>
      </w:pPr>
    </w:lvl>
    <w:lvl w:ilvl="8">
      <w:numFmt w:val="bullet"/>
      <w:lvlText w:val="•"/>
      <w:lvlJc w:val="left"/>
      <w:pPr>
        <w:ind w:left="7724" w:hanging="169"/>
      </w:pPr>
    </w:lvl>
  </w:abstractNum>
  <w:num w:numId="1" w16cid:durableId="928465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190"/>
    <w:rsid w:val="001D605D"/>
    <w:rsid w:val="002F5190"/>
    <w:rsid w:val="004E7963"/>
    <w:rsid w:val="00650B87"/>
    <w:rsid w:val="0077625C"/>
    <w:rsid w:val="007D23EF"/>
    <w:rsid w:val="0089675C"/>
    <w:rsid w:val="00B80827"/>
    <w:rsid w:val="00D3136B"/>
    <w:rsid w:val="00E20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28D20"/>
  <w15:docId w15:val="{B1361814-738C-4FE3-BD8B-373C42A8C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US"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rFonts w:eastAsia="Arial"/>
      <w:lang w:eastAsia="en-US" w:bidi="en-US"/>
    </w:rPr>
  </w:style>
  <w:style w:type="paragraph" w:styleId="Heading1">
    <w:name w:val="heading 1"/>
    <w:basedOn w:val="Normal"/>
    <w:uiPriority w:val="9"/>
    <w:qFormat/>
    <w:pPr>
      <w:ind w:left="162"/>
      <w:outlineLvl w:val="0"/>
    </w:pPr>
    <w:rPr>
      <w:b/>
      <w:bCs/>
      <w:sz w:val="20"/>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215"/>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nhJ5SZFyyL3LP7AEAMGXElrgw==">CgMxLjAyCGguZ2pkZ3hzOAByITFEeVpZbDdYeHZ1NEp5ZVpHQ3NNaGxCdFFxeHc0WmJvdw==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632</Words>
  <Characters>3605</Characters>
  <Application>Microsoft Office Word</Application>
  <DocSecurity>0</DocSecurity>
  <Lines>30</Lines>
  <Paragraphs>8</Paragraphs>
  <ScaleCrop>false</ScaleCrop>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 cai</dc:creator>
  <cp:lastModifiedBy>Mohan Lu</cp:lastModifiedBy>
  <cp:revision>2</cp:revision>
  <dcterms:created xsi:type="dcterms:W3CDTF">2025-05-03T04:42:00Z</dcterms:created>
  <dcterms:modified xsi:type="dcterms:W3CDTF">2025-05-03T04:42:00Z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2023-05-08T00:00:00Z</vt:filetime>
  </property>
  <property fmtid="{D5CDD505-2E9C-101B-9397-08002B2CF9AE}" pid="3" name="Creator">
    <vt:lpwstr>Microsoft® Word for Microsoft 365</vt:lpwstr>
  </property>
  <property fmtid="{D5CDD505-2E9C-101B-9397-08002B2CF9AE}" pid="4" name="LastSaved">
    <vt:filetime>2023-05-12T00:00:00Z</vt:filetime>
  </property>
  <property fmtid="{D5CDD505-2E9C-101B-9397-08002B2CF9AE}" pid="5" name="KSOProductBuildVer">
    <vt:lpwstr>2052-6.5.2.8766</vt:lpwstr>
  </property>
  <property fmtid="{D5CDD505-2E9C-101B-9397-08002B2CF9AE}" pid="6" name="ICV">
    <vt:lpwstr>8C6DF160C36029633F663266B4FAC38B_43</vt:lpwstr>
  </property>
</Properties>
</file>