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786384" cy="973289"/>
            <wp:docPr id="1" name="Picture 1" descr="Escudo institucional de la UNASAM" title="Escudo de la Universidad Nacional Santiago Antúnez de Mayol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-unas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97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 w:line="264" w:lineRule="auto"/>
        <w:jc w:val="center"/>
      </w:pPr>
      <w:r>
        <w:rPr>
          <w:rFonts w:ascii="Calibri" w:hAnsi="Calibri"/>
          <w:b/>
          <w:i w:val="0"/>
          <w:color w:val="5D6773"/>
          <w:sz w:val="20"/>
        </w:rPr>
        <w:t>UNIVERSIDAD NACIONAL SANTIAGO ANTÚNEZ DE MAYOLO</w:t>
      </w:r>
    </w:p>
    <w:p>
      <w:pPr>
        <w:keepNext w:val="0"/>
        <w:spacing w:before="0" w:after="520" w:line="264" w:lineRule="auto"/>
        <w:jc w:val="center"/>
      </w:pPr>
      <w:r>
        <w:rPr>
          <w:rFonts w:ascii="Calibri" w:hAnsi="Calibri"/>
          <w:b/>
          <w:i w:val="0"/>
          <w:color w:val="122A4C"/>
          <w:sz w:val="26"/>
        </w:rPr>
        <w:t>Facultad de Derecho y Ciencias Políticas</w:t>
      </w:r>
    </w:p>
    <w:p>
      <w:pPr>
        <w:keepNext w:val="0"/>
        <w:spacing w:before="0" w:after="180" w:line="264" w:lineRule="auto"/>
        <w:jc w:val="center"/>
      </w:pPr>
      <w:r>
        <w:rPr>
          <w:rFonts w:ascii="Calibri" w:hAnsi="Calibri"/>
          <w:b/>
          <w:i w:val="0"/>
          <w:color w:val="B2893D"/>
          <w:sz w:val="22"/>
        </w:rPr>
        <w:t>INFORME TÉCNICO</w:t>
      </w:r>
    </w:p>
    <w:p>
      <w:pPr>
        <w:keepNext w:val="0"/>
        <w:spacing w:before="0" w:after="100" w:line="240" w:lineRule="auto"/>
        <w:jc w:val="center"/>
      </w:pPr>
      <w:r>
        <w:rPr>
          <w:rFonts w:ascii="Calibri" w:hAnsi="Calibri"/>
          <w:b/>
          <w:i w:val="0"/>
          <w:color w:val="122A4C"/>
          <w:sz w:val="52"/>
        </w:rPr>
        <w:t>Requerimientos de infraestructura y servicios</w:t>
      </w:r>
    </w:p>
    <w:p>
      <w:pPr>
        <w:keepNext w:val="0"/>
        <w:spacing w:before="0" w:after="440" w:line="240" w:lineRule="auto"/>
        <w:jc w:val="center"/>
      </w:pPr>
      <w:r>
        <w:rPr>
          <w:rFonts w:ascii="Calibri" w:hAnsi="Calibri"/>
          <w:b w:val="0"/>
          <w:i w:val="0"/>
          <w:color w:val="1F4D78"/>
          <w:sz w:val="36"/>
        </w:rPr>
        <w:t>para el despliegue institucional del Portal Web</w:t>
      </w:r>
    </w:p>
    <w:p>
      <w:pPr>
        <w:keepNext w:val="0"/>
        <w:spacing w:before="0" w:after="680" w:line="264" w:lineRule="auto"/>
        <w:jc w:val="center"/>
      </w:pPr>
      <w:r>
        <w:rPr>
          <w:rFonts w:ascii="Calibri" w:hAnsi="Calibri"/>
          <w:b w:val="0"/>
          <w:i/>
          <w:color w:val="5D6773"/>
          <w:sz w:val="23"/>
        </w:rPr>
        <w:t>Documento de especificación para solicitud al área de Tecnologías de la Información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700"/>
        <w:gridCol w:w="6660"/>
      </w:tblGrid>
      <w:tr>
        <w:trPr/>
        <w:tc>
          <w:tcPr>
            <w:tcW w:type="dxa" w:w="2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A4C"/>
                <w:sz w:val="19"/>
              </w:rPr>
              <w:t>Sistema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Portal de Derecho y Ciencias Políticas - UNASAM</w:t>
            </w:r>
          </w:p>
        </w:tc>
      </w:tr>
      <w:tr>
        <w:trPr/>
        <w:tc>
          <w:tcPr>
            <w:tcW w:type="dxa" w:w="2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A4C"/>
                <w:sz w:val="19"/>
              </w:rPr>
              <w:t>Dominio propuesto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derecho.unasam.edu.pe (sujeto a disponibilidad y aprobación)</w:t>
            </w:r>
          </w:p>
        </w:tc>
      </w:tr>
      <w:tr>
        <w:trPr/>
        <w:tc>
          <w:tcPr>
            <w:tcW w:type="dxa" w:w="2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A4C"/>
                <w:sz w:val="19"/>
              </w:rPr>
              <w:t>Versión técnica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Laravel 13.12.0 / PHP 8.4.1+ / PostgreSQL / Filament 5.6.6</w:t>
            </w:r>
          </w:p>
        </w:tc>
      </w:tr>
      <w:tr>
        <w:trPr/>
        <w:tc>
          <w:tcPr>
            <w:tcW w:type="dxa" w:w="2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A4C"/>
                <w:sz w:val="19"/>
              </w:rPr>
              <w:t>Fecha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62E"/>
                <w:sz w:val="19"/>
              </w:rPr>
              <w:t>12 de agosto de 2026</w:t>
            </w:r>
          </w:p>
        </w:tc>
      </w:tr>
    </w:tbl>
    <w:p>
      <w:pPr>
        <w:keepNext w:val="0"/>
        <w:spacing w:before="360" w:after="0" w:line="264" w:lineRule="auto"/>
        <w:jc w:val="center"/>
      </w:pPr>
      <w:r>
        <w:rPr>
          <w:rFonts w:ascii="Calibri" w:hAnsi="Calibri"/>
          <w:b w:val="0"/>
          <w:i/>
          <w:color w:val="5D6773"/>
          <w:sz w:val="18"/>
        </w:rPr>
        <w:t>Uso previsto: sustento técnico para el requerimiento de alojamiento, publicación y operación del sistema.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Para publicar el portal en la infraestructura institucional no basta solicitar una dirección web ni una cuenta de acceso. Se requiere que el área de Tecnologías de la Información asigne o provea una plataforma de producción completa, con capacidad de cómputo, base de datos PostgreSQL, almacenamiento persistente para archivos, publicación HTTPS bajo el dominio unasam.edu.pe, copias de seguridad y un mecanismo formal de operación técnica.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6DF"/>
            <w:tcBorders>
              <w:top w:val="single" w:sz="6" w:color="B2893D"/>
              <w:left w:val="single" w:sz="6" w:color="B2893D"/>
              <w:bottom w:val="single" w:sz="6" w:color="B2893D"/>
              <w:right w:val="single" w:sz="6" w:color="B2893D"/>
              <w:insideH w:val="single" w:sz="6" w:color="B2893D"/>
              <w:insideV w:val="single" w:sz="6" w:color="B2893D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2A4C"/>
                <w:sz w:val="22"/>
              </w:rPr>
              <w:t xml:space="preserve">Recomendación principal.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Solicitar una máquina virtual Linux exclusiva o un servicio institucional de contenedores con recursos equivalentes. El acceso SSH es apropiado si se entrega una máquina virtual; en una plataforma administrada debe sustituirse por acceso al despliegue, variables de entorno, consola, logs y reinicio del servicio.</w:t>
            </w:r>
          </w:p>
        </w:tc>
      </w:tr>
    </w:tbl>
    <w:p>
      <w:pPr>
        <w:keepNext w:val="0"/>
        <w:spacing w:before="0" w:after="60" w:line="264" w:lineRule="auto"/>
        <w:jc w:val="left"/>
      </w:pPr>
    </w:p>
    <w:p>
      <w:pPr>
        <w:keepNext w:val="0"/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122A4C"/>
          <w:sz w:val="22"/>
        </w:rPr>
        <w:t>La solicitud debe contemplar, como mínimo: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Subdominio institucional y certificado TLS/SSL gestionado por TI.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Entorno de ejecución Linux para la aplicación Laravel.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Base de datos PostgreSQL administrada, aislada y respaldada.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Almacenamiento persistente para PDF, imágenes, fotografías y documentos.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Acceso técnico controlado para desplegar, migrar, revisar logs y recuperar el servicio.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Política de copias de seguridad, monitoreo, soporte y responsables operativos.</w:t>
      </w:r>
    </w:p>
    <w:p>
      <w:pPr>
        <w:pStyle w:val="Heading1"/>
      </w:pPr>
      <w:r>
        <w:t>2. Alcance y arquitectura del sistema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El sistema es un portal institucional con panel administrativo. Publica información académica, estadísticas, documentos normativos, comunicados, noticias, plana docente y la revista científica «Derecho y Cultura», incluyendo números, artículos, portadas y archivos PDF. La aplicación mantiene trazabilidad editorial, perfiles administrativos, control de publicación, caché pública y cabeceras de seguridad.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Capa</w:t>
            </w:r>
          </w:p>
        </w:tc>
        <w:tc>
          <w:tcPr>
            <w:tcW w:type="dxa" w:w="28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Tecnología actual</w:t>
            </w:r>
          </w:p>
        </w:tc>
        <w:tc>
          <w:tcPr>
            <w:tcW w:type="dxa" w:w="50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Necesidad en producción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Aplicación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Laravel 13.12.0, PHP 8.4.1+, Filament 5.6.6, Livewire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Runtime PHP compatible y servicio web permanente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Interfaz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Blade, Tailwind CSS 4, Vite 8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Assets compilados durante CI o construcción del contenedor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Base de datos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PostgreSQL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Instancia o base institucional con usuario propio y respaldo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Archivos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Spatie Media Library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Disco persistente o almacenamiento de objetos compatible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Caché y sesión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Archivos locales en una sola instancia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Volumen escribible; Redis si existen múltiples réplicas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Entrega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Docker disponible</w:t>
            </w:r>
          </w:p>
        </w:tc>
        <w:tc>
          <w:tcPr>
            <w:tcW w:type="dxa" w:w="5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Registro/repositorio y procedimiento institucional de despliegue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t>3. Requerimiento que debe formularse al área de TI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Se recomienda que el oficio o solicitud institucional pida expresamente los siguientes componentes y no utilice únicamente la frase «una instancia de servidor».</w:t>
      </w:r>
    </w:p>
    <w:p>
      <w:pPr>
        <w:pStyle w:val="Heading2"/>
      </w:pPr>
      <w:r>
        <w:t>3.1. Dominio, DNS y publicación HTTPS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Reserva y creación del subdominio derecho.unasam.edu.pe, u otro nombre que apruebe la Universidad.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Registro DNS tipo A/AAAA o CNAME apuntando al servicio definitivo.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Certificado TLS/SSL válido, renovación automática y redirección obligatoria de HTTP a HTTPS.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Definición del proxy inverso, balanceador o firewall institucional que publicará los puertos 80 y 443.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Entrega de las IP o redes CIDR de los proxies institucionales para configurar TRUSTED_PROXIES; no se aceptará el comodín «*».</w:t>
      </w:r>
    </w:p>
    <w:p>
      <w:pPr>
        <w:pStyle w:val="Heading2"/>
      </w:pPr>
      <w:r>
        <w:t>3.2. Plataforma de aplicación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Opción recomendada: una máquina virtual Linux exclusiva de producción o un servicio de contenedores equivalente. Requerimientos iniciales: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500"/>
        <w:gridCol w:w="1450"/>
        <w:gridCol w:w="2100"/>
        <w:gridCol w:w="431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Recurso</w:t>
            </w:r>
          </w:p>
        </w:tc>
        <w:tc>
          <w:tcPr>
            <w:tcW w:type="dxa" w:w="145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Mínimo inicial</w:t>
            </w:r>
          </w:p>
        </w:tc>
        <w:tc>
          <w:tcPr>
            <w:tcW w:type="dxa" w:w="21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Recomendado</w:t>
            </w:r>
          </w:p>
        </w:tc>
        <w:tc>
          <w:tcPr>
            <w:tcW w:type="dxa" w:w="431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Observación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CPU</w:t>
            </w:r>
          </w:p>
        </w:tc>
        <w:tc>
          <w:tcPr>
            <w:tcW w:type="dxa" w:w="14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2 vCPU</w:t>
            </w:r>
          </w:p>
        </w:tc>
        <w:tc>
          <w:tcPr>
            <w:tcW w:type="dxa" w:w="21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4 vCPU</w:t>
            </w:r>
          </w:p>
        </w:tc>
        <w:tc>
          <w:tcPr>
            <w:tcW w:type="dxa" w:w="43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El portal es liviano; las conversiones de imágenes generan picos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Memoria RAM</w:t>
            </w:r>
          </w:p>
        </w:tc>
        <w:tc>
          <w:tcPr>
            <w:tcW w:type="dxa" w:w="14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4 GB</w:t>
            </w:r>
          </w:p>
        </w:tc>
        <w:tc>
          <w:tcPr>
            <w:tcW w:type="dxa" w:w="21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8 GB</w:t>
            </w:r>
          </w:p>
        </w:tc>
        <w:tc>
          <w:tcPr>
            <w:tcW w:type="dxa" w:w="43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Incluye PHP, servidor web, caché y procesos de despliegue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Sistema operativo</w:t>
            </w:r>
          </w:p>
        </w:tc>
        <w:tc>
          <w:tcPr>
            <w:tcW w:type="dxa" w:w="14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Linux 64 bits</w:t>
            </w:r>
          </w:p>
        </w:tc>
        <w:tc>
          <w:tcPr>
            <w:tcW w:type="dxa" w:w="21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Ubuntu Server 24.04 LTS o equivalente</w:t>
            </w:r>
          </w:p>
        </w:tc>
        <w:tc>
          <w:tcPr>
            <w:tcW w:type="dxa" w:w="43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Mantenimiento y parches a cargo de TI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Disco del sistema</w:t>
            </w:r>
          </w:p>
        </w:tc>
        <w:tc>
          <w:tcPr>
            <w:tcW w:type="dxa" w:w="14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30 GB SSD</w:t>
            </w:r>
          </w:p>
        </w:tc>
        <w:tc>
          <w:tcPr>
            <w:tcW w:type="dxa" w:w="21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50 GB SSD</w:t>
            </w:r>
          </w:p>
        </w:tc>
        <w:tc>
          <w:tcPr>
            <w:tcW w:type="dxa" w:w="43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Código, dependencias, logs temporales y espacio de despliegue</w:t>
            </w:r>
          </w:p>
        </w:tc>
      </w:tr>
      <w:tr>
        <w:trPr>
          <w:trHeight w:hRule="auto"/>
        </w:trPr>
        <w:tc>
          <w:tcPr>
            <w:tcW w:type="dxa" w:w="15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Disponibilidad</w:t>
            </w:r>
          </w:p>
        </w:tc>
        <w:tc>
          <w:tcPr>
            <w:tcW w:type="dxa" w:w="14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Servicio continuo</w:t>
            </w:r>
          </w:p>
        </w:tc>
        <w:tc>
          <w:tcPr>
            <w:tcW w:type="dxa" w:w="21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Monitoreo 24x7 y reinicio automático</w:t>
            </w:r>
          </w:p>
        </w:tc>
        <w:tc>
          <w:tcPr>
            <w:tcW w:type="dxa" w:w="43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Evitar suspensión por inactividad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El proyecto ya dispone de Dockerfile basado en PHP 8.4. Si TI acepta contenedores, puede desplegarse con una imagen construida desde el repositorio y un volumen persistente. Si TI no utiliza Docker, deberá habilitar PHP 8.4.1 o superior dentro de la rama 8.4/8.5, con las extensiones indicadas en el Anexo A, Composer 2 y un servidor web compatible.</w:t>
      </w:r>
    </w:p>
    <w:p>
      <w:pPr>
        <w:pStyle w:val="Heading2"/>
      </w:pPr>
      <w:r>
        <w:t>3.3. Base de datos PostgreSQL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PostgreSQL 15 o superior; se recomienda una versión con soporte institucional vigente.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Base de datos exclusiva para producción y usuario técnico exclusivo de la aplicación, sin privilegios de superusuario.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Host, puerto, nombre de base, usuario, contraseña y modo SSL/TLS. Las credenciales deben entregarse por un canal seguro y no incluirse en el oficio ni en el repositorio.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Conectividad permitida únicamente desde el servidor de aplicación o su red autorizada; PostgreSQL no debe exponerse públicamente.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Zona horaria America/Lima y codificación UTF-8.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Copias de seguridad automáticas, cifradas y con pruebas periódicas de restauración.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6" w:color="8CA7C5"/>
              <w:left w:val="single" w:sz="6" w:color="8CA7C5"/>
              <w:bottom w:val="single" w:sz="6" w:color="8CA7C5"/>
              <w:right w:val="single" w:sz="6" w:color="8CA7C5"/>
              <w:insideH w:val="single" w:sz="6" w:color="8CA7C5"/>
              <w:insideV w:val="single" w:sz="6" w:color="8CA7C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2A4C"/>
                <w:sz w:val="22"/>
              </w:rPr>
              <w:t xml:space="preserve">Dimensionamiento inicial.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Reservar 10 GB para la base de datos es suficiente para la fase inicial y deja margen amplio para contenido, auditoría y crecimiento. Debe existir capacidad de ampliación sin reinstalar el sistema.</w:t>
            </w:r>
          </w:p>
        </w:tc>
      </w:tr>
    </w:tbl>
    <w:p>
      <w:pPr>
        <w:keepNext w:val="0"/>
        <w:spacing w:before="0" w:after="60" w:line="264" w:lineRule="auto"/>
        <w:jc w:val="left"/>
      </w:pPr>
    </w:p>
    <w:p>
      <w:pPr>
        <w:pStyle w:val="Heading2"/>
      </w:pPr>
      <w:r>
        <w:t>3.4. Almacenamiento de archivos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Este componente es obligatorio. La base de datos conserva metadatos, pero los PDF, fotografías, portadas e imágenes se almacenan fuera de PostgreSQL. Hay dos alternativas válidas: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Alternativa</w:t>
            </w:r>
          </w:p>
        </w:tc>
        <w:tc>
          <w:tcPr>
            <w:tcW w:type="dxa" w:w="36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Qué debe proporcionar TI</w:t>
            </w:r>
          </w:p>
        </w:tc>
        <w:tc>
          <w:tcPr>
            <w:tcW w:type="dxa" w:w="40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Implicación técnica</w:t>
            </w:r>
          </w:p>
        </w:tc>
      </w:tr>
      <w:tr>
        <w:trPr>
          <w:trHeight w:hRule="auto"/>
        </w:trPr>
        <w:tc>
          <w:tcPr>
            <w:tcW w:type="dxa" w:w="1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Disco persistente</w:t>
            </w:r>
          </w:p>
        </w:tc>
        <w:tc>
          <w:tcPr>
            <w:tcW w:type="dxa" w:w="3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Volumen SSD montado en el servidor, respaldado y conservado entre despliegues</w:t>
            </w:r>
          </w:p>
        </w:tc>
        <w:tc>
          <w:tcPr>
            <w:tcW w:type="dxa" w:w="4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Es la alternativa más simple para una sola instancia; se usa storage/app/public y public/storage</w:t>
            </w:r>
          </w:p>
        </w:tc>
      </w:tr>
      <w:tr>
        <w:trPr>
          <w:trHeight w:hRule="auto"/>
        </w:trPr>
        <w:tc>
          <w:tcPr>
            <w:tcW w:type="dxa" w:w="1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Almacenamiento de objetos</w:t>
            </w:r>
          </w:p>
        </w:tc>
        <w:tc>
          <w:tcPr>
            <w:tcW w:type="dxa" w:w="3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Bucket privado o público controlado, endpoint, región, credenciales y política CORS/URL</w:t>
            </w:r>
          </w:p>
        </w:tc>
        <w:tc>
          <w:tcPr>
            <w:tcW w:type="dxa" w:w="4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Requiere configurar el disco S3 compatible y migrar los medios existentes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/>
          <w:i w:val="0"/>
          <w:color w:val="122A4C"/>
          <w:sz w:val="22"/>
        </w:rPr>
        <w:t>Capacidad solicitada: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Mínimo inicial: 20 GB persistentes para medios; recomendado: 50 GB con posibilidad de ampliación.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La aplicación admite actualmente imágenes de hasta 5 MB y PDF de hasta 20 MB por archivo.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El servidor web, PHP y cualquier proxy deben aceptar al menos 25 MB por archivo y 30 MB por petición; se recomienda 32 MB y 40 MB respectivamente para evitar rechazos por sobrecarga del formulario.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Debe respaldarse tanto el archivo original como sus conversiones/miniaturas y mantenerse sincronía con la tabla media de PostgreSQL.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No debe utilizarse un disco efímero. Si un despliegue elimina el volumen, se perderán artículos, resoluciones, fotografías y portadas.</w:t>
      </w:r>
    </w:p>
    <w:p>
      <w:pPr>
        <w:pStyle w:val="Heading2"/>
      </w:pPr>
      <w:r>
        <w:t>3.5. Accesos técnicos y seguridad operativa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El acceso requerido depende del modelo de alojamiento: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Modelo</w:t>
            </w:r>
          </w:p>
        </w:tc>
        <w:tc>
          <w:tcPr>
            <w:tcW w:type="dxa" w:w="70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Acceso solicitado</w:t>
            </w:r>
          </w:p>
        </w:tc>
      </w:tr>
      <w:tr>
        <w:trPr>
          <w:trHeight w:hRule="auto"/>
        </w:trPr>
        <w:tc>
          <w:tcPr>
            <w:tcW w:type="dxa" w:w="23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Máquina virtual</w:t>
            </w:r>
          </w:p>
        </w:tc>
        <w:tc>
          <w:tcPr>
            <w:tcW w:type="dxa" w:w="7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Cuenta SSH nominativa mediante llave pública, privilegios sudo limitados, acceso SFTP al volumen y permiso para ejecutar despliegues</w:t>
            </w:r>
          </w:p>
        </w:tc>
      </w:tr>
      <w:tr>
        <w:trPr>
          <w:trHeight w:hRule="auto"/>
        </w:trPr>
        <w:tc>
          <w:tcPr>
            <w:tcW w:type="dxa" w:w="23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Contenedores / PaaS</w:t>
            </w:r>
          </w:p>
        </w:tc>
        <w:tc>
          <w:tcPr>
            <w:tcW w:type="dxa" w:w="7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Acceso al proyecto, registro de imágenes, variables/secretos, consola de ejecución, logs, métricas, reinicio y rollback</w:t>
            </w:r>
          </w:p>
        </w:tc>
      </w:tr>
      <w:tr>
        <w:trPr>
          <w:trHeight w:hRule="auto"/>
        </w:trPr>
        <w:tc>
          <w:tcPr>
            <w:tcW w:type="dxa" w:w="23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Hosting administrado</w:t>
            </w:r>
          </w:p>
        </w:tc>
        <w:tc>
          <w:tcPr>
            <w:tcW w:type="dxa" w:w="70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Panel de despliegue, variables de entorno, cron si corresponde, logs y canal de soporte; debe garantizar PHP/PostgreSQL/almacenamiento compatibles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Repositorio Git institucional o acceso controlado al repositorio autorizado para desplegar la rama de producción.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Separación entre credenciales del sistema operativo, base de datos, panel administrativo y almacenamiento.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Gestión de secretos fuera del código: APP_KEY, credenciales PostgreSQL, correo y almacenamiento.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Acceso a logs de aplicación y servidor sin exponer contraseñas ni datos sensibles.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Ambiente de pruebas o preproducción recomendado para validar migraciones antes del dominio público.</w:t>
      </w:r>
    </w:p>
    <w:p>
      <w:pPr>
        <w:pStyle w:val="Heading1"/>
      </w:pPr>
      <w:r>
        <w:t>4. Servicios complementarios y operación</w:t>
      </w:r>
    </w:p>
    <w:p>
      <w:pPr>
        <w:pStyle w:val="Heading2"/>
      </w:pPr>
      <w:r>
        <w:t>4.1. Correo institucional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El portal funciona actualmente sin recuperación automática de contraseña. Para habilitar notificaciones o recuperación por correo se debe solicitar una cuenta o relay SMTP institucional, por ejemplo no-responder@unasam.edu.pe o una dirección aprobada por TI, con host, puerto, cifrado, usuario, contraseña y restricciones de envío. Mientras no exista SMTP, la recuperación seguirá siendo administrada desde el panel por un superadministrador.</w:t>
      </w:r>
    </w:p>
    <w:p>
      <w:pPr>
        <w:pStyle w:val="Heading2"/>
      </w:pPr>
      <w:r>
        <w:t>4.2. Copias de seguridad y recuperación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La copia de seguridad debe tratar la base de datos y los archivos como una sola unidad lógica. Se propone la siguiente política mínima: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200"/>
        <w:gridCol w:w="2200"/>
        <w:gridCol w:w="2800"/>
        <w:gridCol w:w="2160"/>
      </w:tblGrid>
      <w:tr>
        <w:trPr>
          <w:tblHeader w:val="true"/>
        </w:trPr>
        <w:tc>
          <w:tcPr>
            <w:tcW w:type="dxa" w:w="22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Activo</w:t>
            </w:r>
          </w:p>
        </w:tc>
        <w:tc>
          <w:tcPr>
            <w:tcW w:type="dxa" w:w="22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Frecuencia</w:t>
            </w:r>
          </w:p>
        </w:tc>
        <w:tc>
          <w:tcPr>
            <w:tcW w:type="dxa" w:w="28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Retención mínima</w:t>
            </w:r>
          </w:p>
        </w:tc>
        <w:tc>
          <w:tcPr>
            <w:tcW w:type="dxa" w:w="21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Prueba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PostgreSQL</w:t>
            </w:r>
          </w:p>
        </w:tc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Diaria; incremental/continua si TI dispone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30 días y 12 cierres mensuales</w:t>
            </w:r>
          </w:p>
        </w:tc>
        <w:tc>
          <w:tcPr>
            <w:tcW w:type="dxa" w:w="2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Restauración trimestral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Archivos y medios</w:t>
            </w:r>
          </w:p>
        </w:tc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Diaria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30 días y 12 cierres mensuales</w:t>
            </w:r>
          </w:p>
        </w:tc>
        <w:tc>
          <w:tcPr>
            <w:tcW w:type="dxa" w:w="2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Recuperación de muestra trimestral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Configuración y secretos</w:t>
            </w:r>
          </w:p>
        </w:tc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Ante cada cambio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Versiones vigentes y anterior</w:t>
            </w:r>
          </w:p>
        </w:tc>
        <w:tc>
          <w:tcPr>
            <w:tcW w:type="dxa" w:w="2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Validación semestral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Código fuente</w:t>
            </w:r>
          </w:p>
        </w:tc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Por cada cambio en Git</w:t>
            </w:r>
          </w:p>
        </w:tc>
        <w:tc>
          <w:tcPr>
            <w:tcW w:type="dxa" w:w="2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Historial permanente</w:t>
            </w:r>
          </w:p>
        </w:tc>
        <w:tc>
          <w:tcPr>
            <w:tcW w:type="dxa" w:w="2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Despliegue de rollback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Objetivos sugeridos: RPO máximo de 24 horas y RTO inicial de 8 horas. TI puede establecer valores más exigentes conforme a su política de continuidad.</w:t>
      </w:r>
    </w:p>
    <w:p>
      <w:pPr>
        <w:pStyle w:val="Heading2"/>
      </w:pPr>
      <w:r>
        <w:t>4.3. Monitoreo, registros y mantenimiento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Monitoreo HTTP del health check /up y del certificado TLS.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Alertas por indisponibilidad, errores 5xx, falta de espacio y fallos de respaldo.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Retención de logs de aplicación y servidor por 30 días como mínimo, con rotación.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Actualizaciones de seguridad del sistema operativo, PHP, PostgreSQL y dependencias coordinadas entre TI y el responsable técnico.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Procedimiento de mantenimiento, rollback y contacto de escalamiento.</w:t>
      </w:r>
    </w:p>
    <w:p>
      <w:pPr>
        <w:pStyle w:val="Heading1"/>
      </w:pPr>
      <w:r>
        <w:t>5. Configuraciones y adecuaciones requeridas en el código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Sí, cuando TI entregue la infraestructura será necesario adaptar la configuración de producción. La mayor parte se realiza mediante variables de entorno y despliegue; solo el tipo de almacenamiento puede requerir cambios de código adicionales.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900"/>
        <w:gridCol w:w="4900"/>
        <w:gridCol w:w="2560"/>
      </w:tblGrid>
      <w:tr>
        <w:trPr>
          <w:tblHeader w:val="true"/>
        </w:trPr>
        <w:tc>
          <w:tcPr>
            <w:tcW w:type="dxa" w:w="19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Componente</w:t>
            </w:r>
          </w:p>
        </w:tc>
        <w:tc>
          <w:tcPr>
            <w:tcW w:type="dxa" w:w="49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Configuración prevista</w:t>
            </w:r>
          </w:p>
        </w:tc>
        <w:tc>
          <w:tcPr>
            <w:tcW w:type="dxa" w:w="25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¿Cambio de código?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Dominio/HTTPS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APP_URL, cookie segura, DNS, proxy y TRUSTED_PROXIES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Normalmente no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PostgreSQL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DB_HOST, DB_PORT, DB_DATABASE, DB_USERNAME, DB_PASSWORD y DB_SSLMODE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No, salvo requisitos particulares de conexión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Disco persistente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Montaje, permisos, FILESYSTEM_DISK/MEDIA_DISK y storage:link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No o mínimo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Objeto S3 compatible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Bucket, endpoint, región, credenciales y URLs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Sí: validar/configurar Media Library y migrar medios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Correo SMTP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MAIL_MAILER, host, puerto, cifrado y remitente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Mínimo; recuperación requiere habilitar su flujo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Múltiples instancias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Redis para caché/sesiones y almacenamiento compartido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Sí, configuración de arquitectura</w:t>
            </w:r>
          </w:p>
        </w:tc>
      </w:tr>
      <w:tr>
        <w:trPr>
          <w:trHeight w:hRule="auto"/>
        </w:trPr>
        <w:tc>
          <w:tcPr>
            <w:tcW w:type="dxa" w:w="1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Servidor sin Docker</w:t>
            </w:r>
          </w:p>
        </w:tc>
        <w:tc>
          <w:tcPr>
            <w:tcW w:type="dxa" w:w="49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Nginx/Apache/FrankenPHP, PHP-FPM, extensiones y límites</w:t>
            </w:r>
          </w:p>
        </w:tc>
        <w:tc>
          <w:tcPr>
            <w:tcW w:type="dxa" w:w="2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No en lógica; sí en automatización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/>
          <w:i w:val="0"/>
          <w:color w:val="122A4C"/>
          <w:sz w:val="22"/>
        </w:rPr>
        <w:t>Además, durante la migración se deberá: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Generar una APP_KEY exclusiva de producción y preservar esa clave durante toda la vida del sistema.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Migrar el esquema y los datos desde Neon hacia PostgreSQL institucional mediante un respaldo controlado.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Copiar los archivos existentes al volumen o bucket definitivo y verificar las referencias de Media Library.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Ejecutar migraciones, storage:link, optimización de configuración/rutas/vistas y calentamiento de caché.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Crear o validar cuentas administrativas sin trasladar contraseñas por canales inseguros.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Probar rutas públicas, panel, carga/descarga de archivos, permisos, sitemap, vistas previas y health check.</w:t>
      </w:r>
    </w:p>
    <w:p>
      <w:pPr>
        <w:pStyle w:val="Heading1"/>
      </w:pPr>
      <w:r>
        <w:t>6. Secuencia recomendada de implementación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TI confirma el modelo de alojamiento, recursos, responsable, subdominio y fecha de intervención.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TI entrega accesos temporales y secretos mediante un canal seguro; el técnico valida conectividad y permisos.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crea el entorno de preproducción y se despliega la aplicación con PostgreSQL y almacenamiento definitivos.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respalda Neon y los medios actuales; luego se migran datos y archivos al entorno institucional.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ejecutan migraciones y pruebas funcionales, de seguridad, rendimiento y recuperación.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TI configura DNS y certificado; se realiza una ventana de corte para publicación definitiva.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valida el portal público y el panel; se documenta el rollback y se entrega la operación.</w:t>
      </w:r>
    </w:p>
    <w:p>
      <w:pPr>
        <w:pStyle w:val="ListNumber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revocan accesos temporales, se rotan credenciales y se inicia la política de respaldo y monitoreo.</w:t>
      </w:r>
    </w:p>
    <w:p>
      <w:pPr>
        <w:pStyle w:val="Heading1"/>
      </w:pPr>
      <w:r>
        <w:t>7. Responsabilidades propuestas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Responsable</w:t>
            </w:r>
          </w:p>
        </w:tc>
        <w:tc>
          <w:tcPr>
            <w:tcW w:type="dxa" w:w="651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Funciones principales</w:t>
            </w:r>
          </w:p>
        </w:tc>
      </w:tr>
      <w:tr>
        <w:trPr>
          <w:trHeight w:hRule="auto"/>
        </w:trPr>
        <w:tc>
          <w:tcPr>
            <w:tcW w:type="dxa" w:w="28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Área de TI de la UNASAM</w:t>
            </w:r>
          </w:p>
        </w:tc>
        <w:tc>
          <w:tcPr>
            <w:tcW w:type="dxa" w:w="65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Infraestructura, red, DNS, TLS, PostgreSQL, almacenamiento, respaldos, monitoreo, parches y custodia de secretos</w:t>
            </w:r>
          </w:p>
        </w:tc>
      </w:tr>
      <w:tr>
        <w:trPr>
          <w:trHeight w:hRule="auto"/>
        </w:trPr>
        <w:tc>
          <w:tcPr>
            <w:tcW w:type="dxa" w:w="28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Facultad de Derecho y Ciencias Políticas</w:t>
            </w:r>
          </w:p>
        </w:tc>
        <w:tc>
          <w:tcPr>
            <w:tcW w:type="dxa" w:w="65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Aprobación del dominio, designación de administradores, propiedad y validación del contenido institucional</w:t>
            </w:r>
          </w:p>
        </w:tc>
      </w:tr>
      <w:tr>
        <w:trPr>
          <w:trHeight w:hRule="auto"/>
        </w:trPr>
        <w:tc>
          <w:tcPr>
            <w:tcW w:type="dxa" w:w="28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Responsable técnico del portal</w:t>
            </w:r>
          </w:p>
        </w:tc>
        <w:tc>
          <w:tcPr>
            <w:tcW w:type="dxa" w:w="65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Configuración de la aplicación, migración, despliegue, pruebas, documentación y soporte de la lógica del sistema</w:t>
            </w:r>
          </w:p>
        </w:tc>
      </w:tr>
      <w:tr>
        <w:trPr>
          <w:trHeight w:hRule="auto"/>
        </w:trPr>
        <w:tc>
          <w:tcPr>
            <w:tcW w:type="dxa" w:w="285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Editores autorizados</w:t>
            </w:r>
          </w:p>
        </w:tc>
        <w:tc>
          <w:tcPr>
            <w:tcW w:type="dxa" w:w="651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Carga, revisión, publicación y actualización del contenido desde el panel administrativo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t>8. Criterios de aceptación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El subdominio institucional carga exclusivamente mediante HTTPS y redirige HTTP.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El health check /up responde satisfactoriamente y el servicio no se suspende por inactividad.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La aplicación se conecta a PostgreSQL institucional sin exposición pública de la base.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El panel permite subir, visualizar, descargar y eliminar de forma controlada PDF e imágenes persistentes.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Un nuevo despliegue o reinicio no elimina los archivos cargados.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Las copias de seguridad de base y archivos se ejecutan y existe evidencia de restauración.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Los logs y métricas son accesibles para los responsables autorizados.</w:t>
      </w:r>
    </w:p>
    <w:p>
      <w:pPr>
        <w:pStyle w:val="ListBullet"/>
        <w:spacing w:before="0" w:after="100" w:line="280" w:lineRule="auto"/>
      </w:pPr>
      <w:r>
        <w:rPr>
          <w:rFonts w:ascii="Calibri" w:hAnsi="Calibri"/>
          <w:b w:val="0"/>
          <w:i w:val="0"/>
          <w:color w:val="20262E"/>
          <w:sz w:val="22"/>
        </w:rPr>
        <w:t>Se comprueban panel, permisos, vistas previas, contenido público, sitemap, seguridad y rendimiento.</w:t>
      </w:r>
    </w:p>
    <w:p>
      <w:r>
        <w:br w:type="page"/>
      </w:r>
    </w:p>
    <w:p>
      <w:pPr>
        <w:pStyle w:val="Heading1"/>
      </w:pPr>
      <w:r>
        <w:t>9. Texto sugerido para el pedido institucional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6" w:color="8CA7C5"/>
              <w:left w:val="single" w:sz="6" w:color="8CA7C5"/>
              <w:bottom w:val="single" w:sz="6" w:color="8CA7C5"/>
              <w:right w:val="single" w:sz="6" w:color="8CA7C5"/>
              <w:insideH w:val="single" w:sz="6" w:color="8CA7C5"/>
              <w:insideV w:val="single" w:sz="6" w:color="8CA7C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2A4C"/>
                <w:sz w:val="22"/>
              </w:rPr>
              <w:t xml:space="preserve">Asunto sugerido: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Solicitud de infraestructura y servicios tecnológicos para el despliegue del Portal Web de la Facultad de Derecho y Ciencias Políticas.</w:t>
            </w:r>
          </w:p>
        </w:tc>
      </w:tr>
    </w:tbl>
    <w:p>
      <w:pPr>
        <w:keepNext w:val="0"/>
        <w:spacing w:before="0" w:after="60" w:line="264" w:lineRule="auto"/>
        <w:jc w:val="left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20262E"/>
          <w:sz w:val="22"/>
        </w:rPr>
        <w:t>Se solicita al área competente la asignación y configuración de una plataforma de producción para el Portal Web de la Facultad de Derecho y Ciencias Políticas, desarrollado con Laravel 13.12.0, Filament 5.6.6, PHP 8.4.1 o superior y PostgreSQL. La plataforma deberá contemplar un entorno Linux o servicio de contenedores equivalente, base de datos PostgreSQL exclusiva y respaldada, almacenamiento persistente para documentos e imágenes, publicación bajo un subdominio institucional (propuesto: derecho.unasam.edu.pe), certificado TLS/SSL, monitoreo, registros y copias de seguridad.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20262E"/>
          <w:sz w:val="22"/>
        </w:rPr>
        <w:t>Asimismo, se solicita designar un responsable técnico y otorgar al personal autorizado los accesos necesarios para el despliegue y mantenimiento: cuenta SSH con llave y privilegios limitados cuando se trate de una máquina virtual, o acceso equivalente a consola, variables de entorno, logs, reinicio y rollback cuando se trate de una plataforma administrada. Las credenciales y secretos deberán ser entregados mediante un canal seguro.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20262E"/>
          <w:sz w:val="22"/>
        </w:rPr>
        <w:t>Como dimensionamiento inicial se propone 2 vCPU, 4 GB de RAM, 30 GB de disco para el sistema, 10 GB para PostgreSQL y 20 GB de almacenamiento persistente para archivos, recomendándose 4 vCPU, 8 GB de RAM, 50 GB de sistema y 50 GB de medios, con posibilidad de ampliación. Se adjunta el informe técnico con las especificaciones, alternativas de almacenamiento, política de respaldo y criterios de aceptación.</w:t>
      </w:r>
    </w:p>
    <w:p>
      <w:pPr>
        <w:pStyle w:val="Heading1"/>
      </w:pPr>
      <w:r>
        <w:t>Anexo A. Requisitos técnicos de compatibilidad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Elemento</w:t>
            </w:r>
          </w:p>
        </w:tc>
        <w:tc>
          <w:tcPr>
            <w:tcW w:type="dxa" w:w="71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Requisito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PHP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8.4.1 como mínimo efectivo; se recomienda la última revisión estable de PHP 8.4 compatible con el proyecto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Extensiones PHP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pdo_pgsql, pgsql, gd, intl, zip, bcmath, exif, opcache y pcntl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Composer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Versión 2, instalación de dependencias con --no-dev y autoload optimizado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Node.js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22, necesario en CI/build para npm ci y Vite; no es obligatorio en ejecución si los assets ya están compilados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PostgreSQL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15 o superior recomendado, UTF-8, conexión privada y TLS según política institucional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Servidor web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FrankenPHP/Caddy, Nginx + PHP-FPM o Apache compatible; document root en public/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Escritura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storage/ y bootstrap/cache; volumen persistente para storage/app/public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Procesos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No se requieren workers ni scheduler dedicados en la configuración actual; QUEUE_CONNECTION=sync</w:t>
            </w:r>
          </w:p>
        </w:tc>
      </w:tr>
      <w:tr>
        <w:trPr>
          <w:trHeight w:hRule="auto"/>
        </w:trPr>
        <w:tc>
          <w:tcPr>
            <w:tcW w:type="dxa" w:w="22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Salud</w:t>
            </w:r>
          </w:p>
        </w:tc>
        <w:tc>
          <w:tcPr>
            <w:tcW w:type="dxa" w:w="7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Ruta /up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t>Anexo B. Variables y datos que TI debe entregar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Dato</w:t>
            </w:r>
          </w:p>
        </w:tc>
        <w:tc>
          <w:tcPr>
            <w:tcW w:type="dxa" w:w="75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Información requerida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Dominio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Subdominio aprobado, destino DNS y fecha de propagación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Proxy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IPs/CIDR autorizadas y cabeceras X-Forwarded-*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Servidor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Host/IP privada, método de acceso, usuario, puerto y política de sudo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PostgreSQL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Host, puerto, base, usuario, contraseña, SSLMODE y responsable de respaldos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Archivos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Ruta del volumen o datos del bucket, capacidad, permisos, URL y respaldo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Correo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Host SMTP, puerto, cifrado, usuario, contraseña y remitente aprobado, si se habilita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Logs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Ruta/panel de consulta, retención y canal de alertas</w:t>
            </w:r>
          </w:p>
        </w:tc>
      </w:tr>
      <w:tr>
        <w:trPr>
          <w:trHeight w:hRule="auto"/>
        </w:trPr>
        <w:tc>
          <w:tcPr>
            <w:tcW w:type="dxa" w:w="18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Operación</w:t>
            </w:r>
          </w:p>
        </w:tc>
        <w:tc>
          <w:tcPr>
            <w:tcW w:type="dxa" w:w="75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Responsable TI, ventana de mantenimiento y procedimiento de escalamiento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t>Anexo C. Variables de producción principales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Variable</w:t>
            </w:r>
          </w:p>
        </w:tc>
        <w:tc>
          <w:tcPr>
            <w:tcW w:type="dxa" w:w="66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7"/>
              </w:rPr>
              <w:t>Finalidad / valor esperado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APP_ENV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production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APP_DEBUG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false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APP_URL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https://derecho.unasam.edu.pe o dominio aprobado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APP_KEY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Clave exclusiva generada para producción; no debe regenerarse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TRUSTED_PROXIES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IPs o CIDR explícitos entregados por TI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DB_CONNECTION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pgsql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DB_*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Parámetros de PostgreSQL institucional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DB_SSLMODE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require, verify-full o el valor definido por TI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MEDIA_UPLOADS_ENABLED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true cuando el almacenamiento persistente esté validado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FILESYSTEM_DISK / MEDIA_DISK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public para disco local; s3 para proveedor compatible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SESSION_SECURE_COOKIE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true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SESSION_DRIVER / CACHE_STORE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file en una instancia; redis en múltiples instancias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LOG_CHANNEL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stderr, syslog o canal institucional</w:t>
            </w:r>
          </w:p>
        </w:tc>
      </w:tr>
      <w:tr>
        <w:trPr>
          <w:trHeight w:hRule="auto"/>
        </w:trPr>
        <w:tc>
          <w:tcPr>
            <w:tcW w:type="dxa" w:w="27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MAIL_*</w:t>
            </w:r>
          </w:p>
        </w:tc>
        <w:tc>
          <w:tcPr>
            <w:tcW w:type="dxa" w:w="66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7"/>
              </w:rPr>
              <w:t>Solo cuando TI provea SMTP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p>
      <w:pPr>
        <w:pStyle w:val="Heading1"/>
      </w:pPr>
      <w:r>
        <w:t>Conclusión</w:t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/>
          <w:b/>
          <w:i w:val="0"/>
          <w:color w:val="122A4C"/>
          <w:sz w:val="22"/>
        </w:rPr>
        <w:t>La Facultad debe solicitar una solución de alojamiento institucional integral y no solamente una cuenta SSH. La cuenta SSH es un medio de administración posible, pero el requerimiento real comprende cómputo, PostgreSQL, almacenamiento persistente, dominio HTTPS, accesos operativos, respaldos y soporte. Una vez que TI defina y entregue estos componentes, el responsable técnico podrá configurar el proyecto, migrar la información desde Neon, trasladar los archivos y ejecutar las pruebas de puesta en producción.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2A4C"/>
                <w:sz w:val="22"/>
              </w:rPr>
              <w:t xml:space="preserve">Decisión solicitada a TI. </w:t>
            </w:r>
            <w:r>
              <w:rPr>
                <w:rFonts w:ascii="Calibri" w:hAnsi="Calibri"/>
                <w:b w:val="0"/>
                <w:i w:val="0"/>
                <w:color w:val="20262E"/>
                <w:sz w:val="22"/>
              </w:rPr>
              <w:t>Confirmar el modelo de alojamiento, aprobar el subdominio, reservar los recursos y designar un responsable técnico institucional para coordinar la puesta en producción.</w:t>
            </w:r>
          </w:p>
        </w:tc>
      </w:tr>
    </w:tbl>
    <w:p>
      <w:pPr>
        <w:keepNext w:val="0"/>
        <w:spacing w:before="0" w:after="60" w:line="264" w:lineRule="auto"/>
        <w:jc w:val="left"/>
      </w:pPr>
    </w:p>
    <w:p>
      <w:pPr>
        <w:pStyle w:val="Heading2"/>
      </w:pPr>
      <w:r>
        <w:t>Siguientes acciones</w:t>
      </w:r>
    </w:p>
    <w:p>
      <w:pPr>
        <w:keepNext w:val="0"/>
        <w:spacing w:before="0" w:after="100" w:line="264" w:lineRule="auto"/>
        <w:ind w:left="360" w:hanging="180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1.  La Facultad remite el pedido institucional acompañado de este informe.</w:t>
      </w:r>
    </w:p>
    <w:p>
      <w:pPr>
        <w:keepNext w:val="0"/>
        <w:spacing w:before="0" w:after="100" w:line="264" w:lineRule="auto"/>
        <w:ind w:left="360" w:hanging="180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2.  TI comunica el modelo disponible y completa los datos del Anexo B.</w:t>
      </w:r>
    </w:p>
    <w:p>
      <w:pPr>
        <w:keepNext w:val="0"/>
        <w:spacing w:before="0" w:after="100" w:line="264" w:lineRule="auto"/>
        <w:ind w:left="360" w:hanging="180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3.  El responsable técnico valida accesos, prepara preproducción y presenta el plan de migración.</w:t>
      </w:r>
    </w:p>
    <w:p>
      <w:pPr>
        <w:keepNext w:val="0"/>
        <w:spacing w:before="0" w:after="100" w:line="264" w:lineRule="auto"/>
        <w:ind w:left="360" w:hanging="180"/>
        <w:jc w:val="left"/>
      </w:pPr>
      <w:r>
        <w:rPr>
          <w:rFonts w:ascii="Calibri" w:hAnsi="Calibri"/>
          <w:b w:val="0"/>
          <w:i w:val="0"/>
          <w:color w:val="20262E"/>
          <w:sz w:val="22"/>
        </w:rPr>
        <w:t>4.  La Facultad y TI aprueban la ventana de publicación y el esquema de operación posterior.</w:t>
      </w:r>
    </w:p>
    <w:p>
      <w:pPr>
        <w:pStyle w:val="Heading2"/>
      </w:pPr>
      <w:r>
        <w:t>Conformidad y coordinación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Rol</w:t>
            </w:r>
          </w:p>
        </w:tc>
        <w:tc>
          <w:tcPr>
            <w:tcW w:type="dxa" w:w="360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Nombre / área</w:t>
            </w:r>
          </w:p>
        </w:tc>
        <w:tc>
          <w:tcPr>
            <w:tcW w:type="dxa" w:w="3160"/>
            <w:shd w:fill="E8EEF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A4C"/>
                <w:sz w:val="18"/>
              </w:rPr>
              <w:t>Fecha y conformidad</w:t>
            </w:r>
          </w:p>
        </w:tc>
      </w:tr>
      <w:tr>
        <w:trPr>
          <w:trHeight w:hRule="auto"/>
        </w:trPr>
        <w:tc>
          <w:tcPr>
            <w:tcW w:type="dxa" w:w="2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Facultad solicitante</w:t>
            </w:r>
          </w:p>
        </w:tc>
        <w:tc>
          <w:tcPr>
            <w:tcW w:type="dxa" w:w="3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  <w:tc>
          <w:tcPr>
            <w:tcW w:type="dxa" w:w="3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</w:tr>
      <w:tr>
        <w:trPr>
          <w:trHeight w:hRule="auto"/>
        </w:trPr>
        <w:tc>
          <w:tcPr>
            <w:tcW w:type="dxa" w:w="2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Área de Tecnologías de la Información</w:t>
            </w:r>
          </w:p>
        </w:tc>
        <w:tc>
          <w:tcPr>
            <w:tcW w:type="dxa" w:w="3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  <w:tc>
          <w:tcPr>
            <w:tcW w:type="dxa" w:w="3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</w:tr>
      <w:tr>
        <w:trPr>
          <w:trHeight w:hRule="auto"/>
        </w:trPr>
        <w:tc>
          <w:tcPr>
            <w:tcW w:type="dxa" w:w="2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  <w:t>Responsable técnico del portal</w:t>
            </w:r>
          </w:p>
        </w:tc>
        <w:tc>
          <w:tcPr>
            <w:tcW w:type="dxa" w:w="360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  <w:tc>
          <w:tcPr>
            <w:tcW w:type="dxa" w:w="3160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  <w:insideH w:val="single" w:sz="6" w:color="D8DEE8"/>
              <w:insideV w:val="single" w:sz="6" w:color="D8DEE8"/>
            </w:tcBorders>
            <w:vAlign w:val="center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62E"/>
                <w:sz w:val="18"/>
              </w:rPr>
            </w:r>
          </w:p>
        </w:tc>
      </w:tr>
    </w:tbl>
    <w:p>
      <w:pPr>
        <w:keepNext w:val="0"/>
        <w:spacing w:before="0" w:after="40" w:line="264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D6773"/>
        <w:sz w:val="17"/>
      </w:rPr>
      <w:t xml:space="preserve">Página </w:t>
    </w:r>
    <w:r>
      <w:rPr>
        <w:rFonts w:ascii="Calibri" w:hAnsi="Calibri"/>
        <w:b w:val="0"/>
        <w:i w:val="0"/>
        <w:color w:val="5D67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D6773"/>
        <w:sz w:val="17"/>
      </w:rPr>
      <w:t>UNASAM  |  FACULTAD DE DERECHO Y CIENCIAS POLÍTICAS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requerimientos para el despliegue del Portal de Derecho UNASAM</dc:title>
  <dc:subject>Infraestructura, PostgreSQL, almacenamiento, dominio y operación</dc:subject>
  <dc:creator>Facultad de Derecho y Ciencias Políticas - UNASAM</dc:creator>
  <cp:keywords>UNASAM, Laravel, PostgreSQL, infraestructura, despliegue, portal web</cp:keywords>
  <dc:description>Documento técnico para solicitud institucional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