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文唱堂印刷 株式会社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起死回生プラン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90日で黒字転換を実現するための実行計画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2026年4月7日時点・ Supabase実データに基づく分析</w:t>
      </w:r>
    </w:p>
    <w:p>
      <w:pPr>
        <w:pBdr>
          <w:bottom w:val="single" w:color="1B3A5C" w:sz="6" w:space="1"/>
        </w:pBdr>
        <w:spacing w:after="400"/>
      </w:pPr>
    </w:p>
    <w:p>
      <w:pPr>
        <w:pStyle w:val="Heading1"/>
      </w:pPr>
      <w:r>
        <w:t xml:space="preserve">1. エグゼクティブサマリー</w:t>
      </w:r>
    </w:p>
    <w:p>
      <w:pPr>
        <w:spacing w:after="160"/>
      </w:pPr>
      <w:r>
        <w:rPr>
          <w:rFonts w:ascii="Arial" w:cs="Arial" w:eastAsia="Arial" w:hAnsi="Arial"/>
          <w:sz w:val="18"/>
          <w:szCs w:val="18"/>
        </w:rPr>
        <w:t xml:space="preserve">Supabaseに蓄積された実データ（斜藤除外）をMQ分析した結果、以下の現状が判明しました。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数値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評価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総受注件数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2,421件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斜藤除外後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総売上（PQ）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560.2百万円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約 5.6億円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総変動費（VQ）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162.6百万円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総 MQ（限界利益）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397.5百万円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MQ率 71%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買掛金残高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130.6百万円（929件）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全件未払</w:t>
            </w:r>
          </w:p>
        </w:tc>
      </w:tr>
    </w:tbl>
    <w:p>
      <w:pPr>
        <w:spacing w:after="160" w:before="200"/>
      </w:pPr>
      <w:r>
        <w:rPr>
          <w:rFonts w:ascii="Arial" w:cs="Arial" w:eastAsia="Arial" w:hAnsi="Arial"/>
          <w:sz w:val="18"/>
          <w:szCs w:val="18"/>
        </w:rPr>
        <w:t xml:space="preserve">全体MQ率は71.0%と比較的良好ですが、赤字案件（MQ5%以下）4件・PQ計約1,026万円の「止血」と、休眠顧客20社（前年売上計6,937万円）の「奪還」が最優先課題です。</w:t>
      </w:r>
    </w:p>
    <w:p>
      <w:r>
        <w:br w:type="page"/>
      </w:r>
    </w:p>
    <w:p>
      <w:pPr>
        <w:pStyle w:val="Heading1"/>
      </w:pPr>
      <w:r>
        <w:t xml:space="preserve">2. MQ分析結果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設計経営の公式 G = Q × P × MQ率 − F に基づき、全案件をMQ率帯で分類しました。</w:t>
      </w:r>
    </w:p>
    <w:p>
      <w:pPr>
        <w:pStyle w:val="Heading2"/>
      </w:pPr>
      <w:r>
        <w:t xml:space="preserve">MQ率帯別分布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13"/>
        <w:gridCol w:w="301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MQ率帯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件数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アクション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5%以下（赤字）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4件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即停止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価格改定 or 受注辞退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5～10%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3件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注意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単価交渉必須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10～20%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40件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要検討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条件次第で改善可能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20～46%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331件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条件付受注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維持・単価UP推奨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47%以上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2043件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5D6A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即受注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積極的拡大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sz w:val="18"/>
          <w:szCs w:val="18"/>
        </w:rPr>
        <w:t xml:space="preserve">全2421件中、2,043件（84.4%）がMQ率 47%以上の優良案件です。一方、4件の赤字案件（PQ計1025.8万円）は直ちに価格改定が必要です。</w:t>
      </w:r>
    </w:p>
    <w:p>
      <w:pPr>
        <w:pStyle w:val="Heading2"/>
      </w:pPr>
      <w:r>
        <w:t xml:space="preserve">売上上位10案件のMQ分析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26"/>
        <w:gridCol w:w="2000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得意先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PQ（売上）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MQ率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自由民主党本部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957.6万円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即停止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自由民主党本部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863.5万円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24.3%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条件付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弘和印刷株式会社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580.0万円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35.9%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条件付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一般社団法人 日本木造耐火建築協会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511.5万円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98.2%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優良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一般財団法人 法曹会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465.5万円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条件付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教育開発出版 株式会社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422.4万円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95.5%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優良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一般社団法人 金融財政事情研究会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413.3万円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41.9%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条件付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自由民主党本部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335.5万円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88.3%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優良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自由民主党本部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332.2万円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88.1%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優良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公益社団法人 日本理容美容教育センター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315.0万円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70.6%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優良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sz w:val="18"/>
          <w:szCs w:val="18"/>
        </w:rPr>
        <w:t xml:space="preserve">自由民主党本部の最大案件（PQ 957.6万円）はMQ率 3.0%と赤字であり、緊急の価格改定が必要です。</w:t>
      </w:r>
    </w:p>
    <w:p>
      <w:r>
        <w:br w:type="page"/>
      </w:r>
    </w:p>
    <w:p>
      <w:pPr>
        <w:pStyle w:val="Heading1"/>
      </w:pPr>
      <w:r>
        <w:t xml:space="preserve">3. 優先アクション（今週から実行）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以下のアクションを今週から着手します。</w:t>
      </w:r>
    </w:p>
    <w:p>
      <w:pPr>
        <w:pStyle w:val="Heading2"/>
      </w:pPr>
      <w:r>
        <w:t xml:space="preserve">① 赤字案件の即時停止（今週中）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MQ率 5%以下の 4件（PQ計 1025.8万円）に対し、価格改定または受注辞退を実施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担当営業が各得意先に連絡し、10%以上の単価UPを交渉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18"/>
          <w:szCs w:val="18"/>
        </w:rPr>
        <w:t xml:space="preserve">辞退の場合は代替案件の確保を並行で進める</w:t>
      </w:r>
    </w:p>
    <w:p>
      <w:pPr>
        <w:pStyle w:val="Heading2"/>
      </w:pPr>
      <w:r>
        <w:t xml:space="preserve">② 休眠顧客の奪還（今週～2週間）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20社（前年売上計 6936.9万円）に対して架電→訪問→提案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優先度の高い上位10社から着手、「ご無沙汰しております」の架電トークを準備済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18"/>
          <w:szCs w:val="18"/>
        </w:rPr>
        <w:t xml:space="preserve">目標: 2週間以内に全社への初回コンタクト完了</w:t>
      </w:r>
    </w:p>
    <w:p>
      <w:pPr>
        <w:pStyle w:val="Heading2"/>
      </w:pPr>
      <w:r>
        <w:t xml:space="preserve">③ 高利益顧客へのクロスセル（今月中）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MQ率 50%以上の上位5社に対し、印刷以外の5事業（デザイン・DTP・製本・電子化・物流）を提案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18"/>
          <w:szCs w:val="18"/>
        </w:rPr>
        <w:t xml:space="preserve">既存の信頼関係を活かし、1社あたり年間100万円の増収を目標</w:t>
      </w:r>
    </w:p>
    <w:p>
      <w:pPr>
        <w:pStyle w:val="Heading1"/>
      </w:pPr>
      <w:r>
        <w:t xml:space="preserve">4. 90日アクションプラン（30タスク）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全タスクは業務管理システム内「起死回生プラン」タブでリアルタイムにステータス管理されます。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13"/>
        <w:gridCol w:w="2013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フェーズ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タスク数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主要目標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1: 止血と可視化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10タスク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 1～30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赤字案件停止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2: 仕組みの構築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10タスク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 31～60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営業プロセス構築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3: 検証と調整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10タスク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 61～90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KPI達成検証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設計経営の公式と目標設定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設計経営の公式： G（利益） = Q（受注数） × P（単価） × MQ率 − F（固定費）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この公式に基づき、4つのレバーで利益改善を設計します。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Q（受注数）: 休眠顧客20社の奪還で月間受注+15件を目指す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P（単価）: 赤字案件4件の価格改定で平均単価+10%を実現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MQ率: MQ10～20%帯の40件に対して変動費削減交渉を行い、MQ率+5ptを目指す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F（固定費）: 買掛金約 1.3億円の支払スケジュール最適化</w:t>
      </w:r>
    </w:p>
    <w:p>
      <w:pPr>
        <w:pStyle w:val="Heading1"/>
      </w:pPr>
      <w:r>
        <w:t xml:space="preserve">6. 実行の原則（宮川原則）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受注時のMQ率チェックを必須化（システム対応済）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MQ率 5%以下は社長承認なしに受注禁止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毎週月曜にKPIレビュー会議を開催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顧客接点は全てシステムに記録（属人化を排除）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sz w:val="18"/>
          <w:szCs w:val="18"/>
        </w:rPr>
        <w:t xml:space="preserve">「単価を上げる勇気」を全営業に徹底</w:t>
      </w:r>
    </w:p>
    <w:p>
      <w:pPr>
        <w:pBdr>
          <w:bottom w:val="single" w:color="1B3A5C" w:sz="6" w:space="1"/>
        </w:pBdr>
        <w:spacing w:after="200" w:before="200"/>
      </w:pPr>
    </w:p>
    <w:p>
      <w:pPr>
        <w:pStyle w:val="Heading1"/>
      </w:pPr>
      <w:r>
        <w:t xml:space="preserve">まとめ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文唱堂印刷の収益構造は、MQ率 71%と全体としては良好ですが、少数の赤字案件が利益を侵食し、休眠顧客の放置が売上機会を損失させています。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「止血」（赤字案件の価格改定）と「奪還」（休眠顧客への再アプローチ）を今週から同時並行で実行し、業務管理システムで進捗を可視化します。</w:t>
      </w: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90日後に黒字転換を実現するため、全社一丸となって取り組みましょう。</w:t>
      </w:r>
    </w:p>
    <w:p>
      <w:pPr>
        <w:spacing w:before="400"/>
        <w:jc w:val="righ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以上</w:t>
      </w:r>
    </w:p>
    <w:p>
      <w:pPr>
        <w:jc w:val="righ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MQ Driven 業務管理システム</w:t>
      </w:r>
    </w:p>
    <w:p>
      <w:pPr>
        <w:jc w:val="righ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2026年4月7日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文唱堂印刷 起死回生プラン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A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2026-04-07T03:33:48.267Z</dcterms:created>
  <dcterms:modified xsi:type="dcterms:W3CDTF">2026-04-07T03:33:48.267Z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