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CloudFormationはIAMのほぼフル権限を使うサービス</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定義を立てて設計するもの、独自のエンドポイントの権限も必要</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基本的に実行するユーザーはアドミンになることが多い</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アドミンはほぼなんでもできてしまうから下手にいじらないようにする</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cloudフォーメーション実行する時はリージョン必ず東京</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実行</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スタックの作成　さんぷるてんぷれーとの準備　アップロード　ファイル選択</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自分が作ったテンプレート読み込ませて実行する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テンプレート調べ方</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AWS　cloudformation　EC２　とググって　テンプレートスニペットという例を参照する</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ＹＡＭＬの方が使いやすいのでＹＡＭＬの方を使う</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Type EC2~  どんなＥＣ２を使うか</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プロパティ　詳細</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REF =参照っていう意味</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キータとかのサイトを参考すると良い</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お題はEC2を立ててSSH接続する</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今回はパブリックサブネットを（必要な設定も含めて）EC2を立ててSSH接続を自動化することをゴール</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キーペアは共通のもので良い</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