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4E1B9A" w14:textId="77777777" w:rsidR="00736F9E" w:rsidRDefault="00736F9E" w:rsidP="00736F9E">
      <w:pPr>
        <w:spacing w:line="480" w:lineRule="auto"/>
        <w:jc w:val="both"/>
        <w:rPr>
          <w:rFonts w:asciiTheme="minorBidi" w:hAnsiTheme="minorBidi"/>
          <w:b/>
          <w:bCs/>
        </w:rPr>
      </w:pPr>
    </w:p>
    <w:p w14:paraId="0209A15A" w14:textId="77777777" w:rsidR="00736F9E" w:rsidRDefault="00736F9E" w:rsidP="00736F9E">
      <w:pPr>
        <w:spacing w:line="480" w:lineRule="auto"/>
        <w:jc w:val="both"/>
        <w:rPr>
          <w:rFonts w:asciiTheme="minorBidi" w:hAnsiTheme="minorBidi"/>
          <w:b/>
          <w:bCs/>
        </w:rPr>
      </w:pPr>
    </w:p>
    <w:p w14:paraId="2D6AC868" w14:textId="77777777" w:rsidR="00736F9E" w:rsidRDefault="00736F9E" w:rsidP="00736F9E">
      <w:pPr>
        <w:spacing w:line="480" w:lineRule="auto"/>
        <w:jc w:val="both"/>
        <w:rPr>
          <w:rFonts w:asciiTheme="minorBidi" w:hAnsiTheme="minorBidi"/>
          <w:b/>
          <w:bCs/>
        </w:rPr>
      </w:pPr>
    </w:p>
    <w:p w14:paraId="5C75E917" w14:textId="77777777" w:rsidR="00736F9E" w:rsidRDefault="00736F9E" w:rsidP="00736F9E">
      <w:pPr>
        <w:spacing w:line="480" w:lineRule="auto"/>
        <w:jc w:val="both"/>
        <w:rPr>
          <w:rFonts w:asciiTheme="minorBidi" w:hAnsiTheme="minorBidi"/>
          <w:b/>
          <w:bCs/>
        </w:rPr>
      </w:pPr>
      <w:r>
        <w:rPr>
          <w:rFonts w:asciiTheme="minorBidi" w:hAnsiTheme="minorBidi"/>
          <w:b/>
          <w:bCs/>
        </w:rPr>
        <w:t xml:space="preserve">Title: </w:t>
      </w:r>
    </w:p>
    <w:p w14:paraId="159474AE" w14:textId="49BC6B87" w:rsidR="00736F9E" w:rsidRDefault="00736F9E" w:rsidP="00736F9E">
      <w:pPr>
        <w:spacing w:line="480" w:lineRule="auto"/>
        <w:jc w:val="both"/>
        <w:rPr>
          <w:rFonts w:asciiTheme="minorBidi" w:hAnsiTheme="minorBidi"/>
          <w:b/>
          <w:bCs/>
        </w:rPr>
      </w:pPr>
      <w:r w:rsidRPr="00736F9E">
        <w:rPr>
          <w:rFonts w:asciiTheme="minorBidi" w:hAnsiTheme="minorBidi"/>
          <w:b/>
          <w:bCs/>
        </w:rPr>
        <w:t>Pampered Pets International Expansion Risk and Recovery Appraisal</w:t>
      </w:r>
    </w:p>
    <w:p w14:paraId="45973F07" w14:textId="77777777" w:rsidR="00736F9E" w:rsidRPr="00736F9E" w:rsidRDefault="00736F9E" w:rsidP="00736F9E">
      <w:pPr>
        <w:spacing w:line="480" w:lineRule="auto"/>
        <w:jc w:val="both"/>
        <w:rPr>
          <w:rFonts w:asciiTheme="minorBidi" w:hAnsiTheme="minorBidi"/>
          <w:b/>
          <w:bCs/>
        </w:rPr>
      </w:pPr>
    </w:p>
    <w:p w14:paraId="4D0C89B1" w14:textId="77777777" w:rsidR="00736F9E" w:rsidRDefault="00736F9E" w:rsidP="00736F9E">
      <w:pPr>
        <w:spacing w:line="480" w:lineRule="auto"/>
        <w:jc w:val="both"/>
        <w:rPr>
          <w:rFonts w:asciiTheme="minorBidi" w:hAnsiTheme="minorBidi"/>
          <w:b/>
          <w:bCs/>
        </w:rPr>
      </w:pPr>
      <w:r w:rsidRPr="00736F9E">
        <w:rPr>
          <w:rFonts w:asciiTheme="minorBidi" w:hAnsiTheme="minorBidi"/>
          <w:b/>
          <w:bCs/>
        </w:rPr>
        <w:t>Submission date: Monday, 12 October 2026</w:t>
      </w:r>
    </w:p>
    <w:p w14:paraId="62300EEB" w14:textId="77777777" w:rsidR="00736F9E" w:rsidRDefault="00736F9E" w:rsidP="00736F9E">
      <w:pPr>
        <w:spacing w:line="480" w:lineRule="auto"/>
        <w:jc w:val="both"/>
        <w:rPr>
          <w:rFonts w:asciiTheme="minorBidi" w:hAnsiTheme="minorBidi"/>
          <w:b/>
          <w:bCs/>
        </w:rPr>
      </w:pPr>
    </w:p>
    <w:p w14:paraId="224492BD" w14:textId="77777777" w:rsidR="00736F9E" w:rsidRDefault="00736F9E" w:rsidP="00736F9E">
      <w:pPr>
        <w:spacing w:line="480" w:lineRule="auto"/>
        <w:jc w:val="both"/>
        <w:rPr>
          <w:rFonts w:asciiTheme="minorBidi" w:hAnsiTheme="minorBidi"/>
          <w:b/>
          <w:bCs/>
        </w:rPr>
      </w:pPr>
    </w:p>
    <w:p w14:paraId="0982F217" w14:textId="77777777" w:rsidR="00736F9E" w:rsidRDefault="00736F9E" w:rsidP="00736F9E">
      <w:pPr>
        <w:spacing w:line="480" w:lineRule="auto"/>
        <w:jc w:val="both"/>
        <w:rPr>
          <w:rFonts w:asciiTheme="minorBidi" w:hAnsiTheme="minorBidi"/>
          <w:b/>
          <w:bCs/>
        </w:rPr>
      </w:pPr>
    </w:p>
    <w:p w14:paraId="0B100CE1" w14:textId="77777777" w:rsidR="00736F9E" w:rsidRDefault="00736F9E" w:rsidP="00736F9E">
      <w:pPr>
        <w:spacing w:line="480" w:lineRule="auto"/>
        <w:jc w:val="both"/>
        <w:rPr>
          <w:rFonts w:asciiTheme="minorBidi" w:hAnsiTheme="minorBidi"/>
          <w:b/>
          <w:bCs/>
        </w:rPr>
      </w:pPr>
    </w:p>
    <w:p w14:paraId="59FBE9A7" w14:textId="77777777" w:rsidR="00736F9E" w:rsidRDefault="00736F9E" w:rsidP="00736F9E">
      <w:pPr>
        <w:spacing w:line="480" w:lineRule="auto"/>
        <w:jc w:val="both"/>
        <w:rPr>
          <w:rFonts w:asciiTheme="minorBidi" w:hAnsiTheme="minorBidi"/>
          <w:b/>
          <w:bCs/>
        </w:rPr>
      </w:pPr>
    </w:p>
    <w:p w14:paraId="1286D729" w14:textId="77777777" w:rsidR="00736F9E" w:rsidRDefault="00736F9E" w:rsidP="00736F9E">
      <w:pPr>
        <w:spacing w:line="480" w:lineRule="auto"/>
        <w:jc w:val="both"/>
        <w:rPr>
          <w:rFonts w:asciiTheme="minorBidi" w:hAnsiTheme="minorBidi"/>
          <w:b/>
          <w:bCs/>
        </w:rPr>
      </w:pPr>
    </w:p>
    <w:p w14:paraId="3EDF7236" w14:textId="77777777" w:rsidR="00736F9E" w:rsidRDefault="00736F9E" w:rsidP="00736F9E">
      <w:pPr>
        <w:spacing w:line="480" w:lineRule="auto"/>
        <w:jc w:val="both"/>
        <w:rPr>
          <w:rFonts w:asciiTheme="minorBidi" w:hAnsiTheme="minorBidi"/>
          <w:b/>
          <w:bCs/>
        </w:rPr>
      </w:pPr>
    </w:p>
    <w:p w14:paraId="6D54691E" w14:textId="77777777" w:rsidR="00736F9E" w:rsidRDefault="00736F9E" w:rsidP="00736F9E">
      <w:pPr>
        <w:spacing w:line="480" w:lineRule="auto"/>
        <w:jc w:val="both"/>
        <w:rPr>
          <w:rFonts w:asciiTheme="minorBidi" w:hAnsiTheme="minorBidi"/>
          <w:b/>
          <w:bCs/>
        </w:rPr>
      </w:pPr>
    </w:p>
    <w:p w14:paraId="06510AF5" w14:textId="77777777" w:rsidR="00736F9E" w:rsidRDefault="00736F9E" w:rsidP="00736F9E">
      <w:pPr>
        <w:spacing w:line="480" w:lineRule="auto"/>
        <w:jc w:val="both"/>
        <w:rPr>
          <w:rFonts w:asciiTheme="minorBidi" w:hAnsiTheme="minorBidi"/>
          <w:b/>
          <w:bCs/>
        </w:rPr>
      </w:pPr>
    </w:p>
    <w:p w14:paraId="0FEBD237" w14:textId="77777777" w:rsidR="00736F9E" w:rsidRDefault="00736F9E" w:rsidP="00736F9E">
      <w:pPr>
        <w:spacing w:line="480" w:lineRule="auto"/>
        <w:jc w:val="both"/>
        <w:rPr>
          <w:rFonts w:asciiTheme="minorBidi" w:hAnsiTheme="minorBidi"/>
          <w:b/>
          <w:bCs/>
        </w:rPr>
      </w:pPr>
    </w:p>
    <w:p w14:paraId="56867F9B" w14:textId="77777777" w:rsidR="00736F9E" w:rsidRDefault="00736F9E" w:rsidP="00736F9E">
      <w:pPr>
        <w:spacing w:line="480" w:lineRule="auto"/>
        <w:jc w:val="both"/>
        <w:rPr>
          <w:rFonts w:asciiTheme="minorBidi" w:hAnsiTheme="minorBidi"/>
          <w:b/>
          <w:bCs/>
        </w:rPr>
      </w:pPr>
    </w:p>
    <w:p w14:paraId="4EBBFBE4" w14:textId="77777777" w:rsidR="00736F9E" w:rsidRDefault="00736F9E" w:rsidP="00736F9E">
      <w:pPr>
        <w:spacing w:line="480" w:lineRule="auto"/>
        <w:jc w:val="both"/>
        <w:rPr>
          <w:rFonts w:asciiTheme="minorBidi" w:hAnsiTheme="minorBidi"/>
          <w:b/>
          <w:bCs/>
        </w:rPr>
      </w:pPr>
    </w:p>
    <w:p w14:paraId="53CE4EDC" w14:textId="77777777" w:rsidR="00736F9E" w:rsidRDefault="00736F9E" w:rsidP="00736F9E">
      <w:pPr>
        <w:spacing w:line="480" w:lineRule="auto"/>
        <w:jc w:val="both"/>
        <w:rPr>
          <w:rFonts w:asciiTheme="minorBidi" w:hAnsiTheme="minorBidi"/>
          <w:b/>
          <w:bCs/>
        </w:rPr>
      </w:pPr>
    </w:p>
    <w:p w14:paraId="0059B184" w14:textId="2D6E48C8" w:rsidR="00736F9E" w:rsidRPr="00736F9E" w:rsidRDefault="00736F9E" w:rsidP="00736F9E">
      <w:pPr>
        <w:spacing w:line="480" w:lineRule="auto"/>
        <w:jc w:val="both"/>
        <w:rPr>
          <w:rFonts w:asciiTheme="minorBidi" w:hAnsiTheme="minorBidi"/>
          <w:b/>
          <w:bCs/>
        </w:rPr>
      </w:pPr>
      <w:r w:rsidRPr="00736F9E">
        <w:rPr>
          <w:rFonts w:asciiTheme="minorBidi" w:hAnsiTheme="minorBidi"/>
          <w:b/>
          <w:bCs/>
        </w:rPr>
        <w:lastRenderedPageBreak/>
        <w:t>The commercial decision</w:t>
      </w:r>
    </w:p>
    <w:p w14:paraId="0BFBC510" w14:textId="77777777" w:rsidR="00736F9E" w:rsidRPr="00736F9E" w:rsidRDefault="00736F9E" w:rsidP="00736F9E">
      <w:pPr>
        <w:spacing w:line="480" w:lineRule="auto"/>
        <w:jc w:val="both"/>
        <w:rPr>
          <w:rFonts w:asciiTheme="minorBidi" w:hAnsiTheme="minorBidi"/>
        </w:rPr>
      </w:pPr>
      <w:r w:rsidRPr="00736F9E">
        <w:rPr>
          <w:rFonts w:asciiTheme="minorBidi" w:hAnsiTheme="minorBidi"/>
        </w:rPr>
        <w:t>Pampered Pets should fund a controlled international pilot before committing to worldwide warehouse deployment. Its reputation depends on delivering the promised product in the promised condition, not merely processing more orders. The proposed expansion changes both the physical journey of goods and the information used to release them. Royal patronage magnifies the consequences of failure but does not justify different safety standards for other customers.</w:t>
      </w:r>
    </w:p>
    <w:p w14:paraId="54C39B74" w14:textId="77777777" w:rsidR="00736F9E" w:rsidRPr="00736F9E" w:rsidRDefault="00736F9E" w:rsidP="00736F9E">
      <w:pPr>
        <w:spacing w:line="480" w:lineRule="auto"/>
        <w:jc w:val="both"/>
        <w:rPr>
          <w:rFonts w:asciiTheme="minorBidi" w:hAnsiTheme="minorBidi"/>
        </w:rPr>
      </w:pPr>
      <w:r w:rsidRPr="00736F9E">
        <w:rPr>
          <w:rFonts w:asciiTheme="minorBidi" w:hAnsiTheme="minorBidi"/>
        </w:rPr>
        <w:t>The worked assessment estimates a 0.87% probability that a scheduled batch reaches customers with an unresolved quality defect, and a 9.56% probability that a planned shipment arrives late. Strengthening release checks and fallback arrangements reduces these illustrative estimates to 0.286% and 4.40%, respectively. These are scenario outputs derived from declared assumptions, not measured company rates. They provide a basis for challenging suppliers and testing controls, rather than a guarantee of future performance.</w:t>
      </w:r>
    </w:p>
    <w:p w14:paraId="6F2F9289" w14:textId="77777777" w:rsidR="00736F9E" w:rsidRPr="00736F9E" w:rsidRDefault="00736F9E" w:rsidP="00736F9E">
      <w:pPr>
        <w:spacing w:line="480" w:lineRule="auto"/>
        <w:jc w:val="both"/>
        <w:rPr>
          <w:rFonts w:asciiTheme="minorBidi" w:hAnsiTheme="minorBidi"/>
        </w:rPr>
      </w:pPr>
      <w:r w:rsidRPr="00736F9E">
        <w:rPr>
          <w:rFonts w:asciiTheme="minorBidi" w:hAnsiTheme="minorBidi"/>
        </w:rPr>
        <w:t>The earlier assessment describes four staff and substantial dependence on local trading. That limited capacity makes operational ownership central to the investment decision. Supply risk spans material, information and financial flows (Tang and Musa, 2011). Automating one flow while leaving the others unmanaged can transfer exposure elsewhere. Cathy should therefore prioritise product release assurance, continuity of customer transactions, lawful processing, and only then expansion speed. Each investment should have an accountable owner and an observable acceptance test.</w:t>
      </w:r>
    </w:p>
    <w:p w14:paraId="0F1587C9" w14:textId="77777777" w:rsidR="00736F9E" w:rsidRPr="00736F9E" w:rsidRDefault="00736F9E" w:rsidP="00736F9E">
      <w:pPr>
        <w:spacing w:line="480" w:lineRule="auto"/>
        <w:jc w:val="both"/>
        <w:rPr>
          <w:rFonts w:asciiTheme="minorBidi" w:hAnsiTheme="minorBidi"/>
          <w:b/>
          <w:bCs/>
        </w:rPr>
      </w:pPr>
      <w:r w:rsidRPr="00736F9E">
        <w:rPr>
          <w:rFonts w:asciiTheme="minorBidi" w:hAnsiTheme="minorBidi"/>
          <w:b/>
          <w:bCs/>
        </w:rPr>
        <w:t>What can fail and what the numbers mean</w:t>
      </w:r>
    </w:p>
    <w:p w14:paraId="4806E0CB" w14:textId="77777777" w:rsidR="00736F9E" w:rsidRPr="00736F9E" w:rsidRDefault="00736F9E" w:rsidP="00736F9E">
      <w:pPr>
        <w:spacing w:line="480" w:lineRule="auto"/>
        <w:jc w:val="both"/>
        <w:rPr>
          <w:rFonts w:asciiTheme="minorBidi" w:hAnsiTheme="minorBidi"/>
        </w:rPr>
      </w:pPr>
      <w:r w:rsidRPr="00736F9E">
        <w:rPr>
          <w:rFonts w:asciiTheme="minorBidi" w:hAnsiTheme="minorBidi"/>
        </w:rPr>
        <w:t xml:space="preserve">Quality exposure includes unauthorised ingredient changes, contamination, damaged seals, unsuitable humidity or temperature, incorrect product identification and </w:t>
      </w:r>
      <w:r w:rsidRPr="00736F9E">
        <w:rPr>
          <w:rFonts w:asciiTheme="minorBidi" w:hAnsiTheme="minorBidi"/>
        </w:rPr>
        <w:lastRenderedPageBreak/>
        <w:t>inaccurate usage information. Supply exposure includes customs holds, supplier insolvency, missed carrier connections, equipment stoppages, power failures, inventory allocation errors and malicious changes to warehouse instructions. These categories extend beyond cybersecurity, consistent with the broad supply risk classification reviewed by Ho et al. (2015). Automated warehouses also require coordinated equipment and control decisions; installing robots does not remove operational complexity (Azadeh, de Koster and Roy, 2019).</w:t>
      </w:r>
    </w:p>
    <w:p w14:paraId="4AEA9D1E" w14:textId="77777777" w:rsidR="00736F9E" w:rsidRPr="00736F9E" w:rsidRDefault="00736F9E" w:rsidP="00736F9E">
      <w:pPr>
        <w:spacing w:line="480" w:lineRule="auto"/>
        <w:jc w:val="both"/>
        <w:rPr>
          <w:rFonts w:asciiTheme="minorBidi" w:hAnsiTheme="minorBidi"/>
        </w:rPr>
      </w:pPr>
      <w:r w:rsidRPr="00736F9E">
        <w:rPr>
          <w:rFonts w:asciiTheme="minorBidi" w:hAnsiTheme="minorBidi"/>
        </w:rPr>
        <w:t>Two small probability models separate defect creation from control failure. An event tree evaluates quality; a conditional probability network evaluates delivery. This makes the calculations inspectable without concealing uncertain inputs inside a simulation. Qazi et al. (2018) demonstrate the value of representing dependencies when evaluating supply risks. Here, a shared systems incident explicitly connects otherwise separate delivery mechanisms. An ordinal likelihood score would be unsuitable because it cannot legitimately be converted into a percentage.</w:t>
      </w:r>
    </w:p>
    <w:p w14:paraId="259A6BC8" w14:textId="77777777" w:rsidR="00736F9E" w:rsidRPr="00736F9E" w:rsidRDefault="00736F9E" w:rsidP="00736F9E">
      <w:pPr>
        <w:spacing w:line="480" w:lineRule="auto"/>
        <w:jc w:val="both"/>
        <w:rPr>
          <w:rFonts w:asciiTheme="minorBidi" w:hAnsiTheme="minorBidi"/>
        </w:rPr>
      </w:pPr>
      <w:r w:rsidRPr="00736F9E">
        <w:rPr>
          <w:rFonts w:asciiTheme="minorBidi" w:hAnsiTheme="minorBidi"/>
        </w:rPr>
        <w:t xml:space="preserve">The assessment covers the first operating year, using a randomly selected scheduled batch for quality and a randomly selected planned shipment for delivery. A quality failure means any agreed product specification remains unmet when goods reach customers. A delivery failure means arrival more than </w:t>
      </w:r>
      <w:proofErr w:type="gramStart"/>
      <w:r w:rsidRPr="00736F9E">
        <w:rPr>
          <w:rFonts w:asciiTheme="minorBidi" w:hAnsiTheme="minorBidi"/>
        </w:rPr>
        <w:t>forty eight</w:t>
      </w:r>
      <w:proofErr w:type="gramEnd"/>
      <w:r w:rsidRPr="00736F9E">
        <w:rPr>
          <w:rFonts w:asciiTheme="minorBidi" w:hAnsiTheme="minorBidi"/>
        </w:rPr>
        <w:t xml:space="preserve"> hours after the contractual date. These different sampling units must not be combined into one overall percentage. No annual probability is inferred from them.</w:t>
      </w:r>
    </w:p>
    <w:p w14:paraId="30259001" w14:textId="77777777" w:rsidR="00736F9E" w:rsidRPr="00736F9E" w:rsidRDefault="00736F9E" w:rsidP="00736F9E">
      <w:pPr>
        <w:spacing w:line="480" w:lineRule="auto"/>
        <w:jc w:val="both"/>
        <w:rPr>
          <w:rFonts w:asciiTheme="minorBidi" w:hAnsiTheme="minorBidi"/>
        </w:rPr>
      </w:pPr>
      <w:r w:rsidRPr="00736F9E">
        <w:rPr>
          <w:rFonts w:asciiTheme="minorBidi" w:hAnsiTheme="minorBidi"/>
        </w:rPr>
        <w:t xml:space="preserve">For quality, assume primary initiating causes are supplier specification failure, 0.025; packaging or environmental damage, 0.018; and digital product record error, 0.012. Assign each defective batch to exactly one primary category, including batches with several defects, so the categories are mutually exclusive. The remaining 0.945 </w:t>
      </w:r>
      <w:r w:rsidRPr="00736F9E">
        <w:rPr>
          <w:rFonts w:asciiTheme="minorBidi" w:hAnsiTheme="minorBidi"/>
        </w:rPr>
        <w:lastRenderedPageBreak/>
        <w:t>represents batches without these defects. Conditional probabilities that all release controls miss the defect are 0.12, 0.15 and 0.25, respectively. These miss rates include every relevant check, rather than assuming independent inspections.</w:t>
      </w:r>
    </w:p>
    <w:p w14:paraId="2C12409E" w14:textId="77777777" w:rsidR="00736F9E" w:rsidRPr="00736F9E" w:rsidRDefault="00736F9E" w:rsidP="00736F9E">
      <w:pPr>
        <w:spacing w:line="480" w:lineRule="auto"/>
        <w:jc w:val="both"/>
        <w:rPr>
          <w:rFonts w:asciiTheme="minorBidi" w:hAnsiTheme="minorBidi"/>
        </w:rPr>
      </w:pPr>
      <w:r w:rsidRPr="00736F9E">
        <w:rPr>
          <w:rFonts w:asciiTheme="minorBidi" w:hAnsiTheme="minorBidi"/>
        </w:rPr>
        <w:t>Multiply initiation by conditional escape probability, then add the disjoint branches: P(Q)=0.025×0.12+0.018×0.15+0.012×0.25=0.0087. Thus, customer exposure is 0.87% per scheduled batch. Supplier defects contribute 0.30 percentage points, packaging or environmental damage 0.27, and record errors 0.30. The model also predicts 4.63% of scheduled batches require containment because 5.50% develop defects and 0.87% escape. Containment may itself threaten delivery unless replacement capacity exists.</w:t>
      </w:r>
    </w:p>
    <w:p w14:paraId="5345C776" w14:textId="77777777" w:rsidR="00736F9E" w:rsidRPr="00736F9E" w:rsidRDefault="00736F9E" w:rsidP="00736F9E">
      <w:pPr>
        <w:spacing w:line="480" w:lineRule="auto"/>
        <w:jc w:val="both"/>
        <w:rPr>
          <w:rFonts w:asciiTheme="minorBidi" w:hAnsiTheme="minorBidi"/>
        </w:rPr>
      </w:pPr>
      <w:r w:rsidRPr="00736F9E">
        <w:rPr>
          <w:rFonts w:asciiTheme="minorBidi" w:hAnsiTheme="minorBidi"/>
        </w:rPr>
        <w:t xml:space="preserve">For delivery, assume a shared ordering or warehouse systems incident prevents timely fulfilment with probability 0.02 per shipment. Conditional on its absence, initiating probabilities and probabilities that fallback measures fail </w:t>
      </w:r>
      <w:proofErr w:type="gramStart"/>
      <w:r w:rsidRPr="00736F9E">
        <w:rPr>
          <w:rFonts w:asciiTheme="minorBidi" w:hAnsiTheme="minorBidi"/>
        </w:rPr>
        <w:t>are</w:t>
      </w:r>
      <w:proofErr w:type="gramEnd"/>
      <w:r w:rsidRPr="00736F9E">
        <w:rPr>
          <w:rFonts w:asciiTheme="minorBidi" w:hAnsiTheme="minorBidi"/>
        </w:rPr>
        <w:t xml:space="preserve"> customs hold, 0.10 and 0.30; supplier shortfall, 0.07 and 0.25; automation stoppage, 0.05 and 0.20; carrier failure, 0.04 and 0.40; and inventory discrepancy, 0.03 and 0.20. Multiplication gives conditional delivery failure probabilities of 3.00%, 1.75%, 1.00%, 1.60% and 0.60%.</w:t>
      </w:r>
    </w:p>
    <w:p w14:paraId="3701E072" w14:textId="77777777" w:rsidR="00736F9E" w:rsidRPr="00736F9E" w:rsidRDefault="00736F9E" w:rsidP="00736F9E">
      <w:pPr>
        <w:spacing w:line="480" w:lineRule="auto"/>
        <w:jc w:val="both"/>
        <w:rPr>
          <w:rFonts w:asciiTheme="minorBidi" w:hAnsiTheme="minorBidi"/>
        </w:rPr>
      </w:pPr>
      <w:r w:rsidRPr="00736F9E">
        <w:rPr>
          <w:rFonts w:asciiTheme="minorBidi" w:hAnsiTheme="minorBidi"/>
        </w:rPr>
        <w:t xml:space="preserve">Assuming independence only among these residual mechanisms when the shared incident is absent, </w:t>
      </w:r>
      <w:proofErr w:type="gramStart"/>
      <w:r w:rsidRPr="00736F9E">
        <w:rPr>
          <w:rFonts w:asciiTheme="minorBidi" w:hAnsiTheme="minorBidi"/>
        </w:rPr>
        <w:t>P(</w:t>
      </w:r>
      <w:proofErr w:type="spellStart"/>
      <w:proofErr w:type="gramEnd"/>
      <w:r w:rsidRPr="00736F9E">
        <w:rPr>
          <w:rFonts w:asciiTheme="minorBidi" w:hAnsiTheme="minorBidi"/>
        </w:rPr>
        <w:t>L|no</w:t>
      </w:r>
      <w:proofErr w:type="spellEnd"/>
      <w:r w:rsidRPr="00736F9E">
        <w:rPr>
          <w:rFonts w:asciiTheme="minorBidi" w:hAnsiTheme="minorBidi"/>
        </w:rPr>
        <w:t xml:space="preserve"> </w:t>
      </w:r>
      <w:proofErr w:type="gramStart"/>
      <w:r w:rsidRPr="00736F9E">
        <w:rPr>
          <w:rFonts w:asciiTheme="minorBidi" w:hAnsiTheme="minorBidi"/>
        </w:rPr>
        <w:t>incident)=</w:t>
      </w:r>
      <w:proofErr w:type="gramEnd"/>
      <w:r w:rsidRPr="00736F9E">
        <w:rPr>
          <w:rFonts w:asciiTheme="minorBidi" w:hAnsiTheme="minorBidi"/>
        </w:rPr>
        <w:t>1−(0.970×0.9825×0.990×0.984×0.</w:t>
      </w:r>
      <w:proofErr w:type="gramStart"/>
      <w:r w:rsidRPr="00736F9E">
        <w:rPr>
          <w:rFonts w:asciiTheme="minorBidi" w:hAnsiTheme="minorBidi"/>
        </w:rPr>
        <w:t>994)=</w:t>
      </w:r>
      <w:proofErr w:type="gramEnd"/>
      <w:r w:rsidRPr="00736F9E">
        <w:rPr>
          <w:rFonts w:asciiTheme="minorBidi" w:hAnsiTheme="minorBidi"/>
        </w:rPr>
        <w:t>0.077171559. Therefore, P(L)=0.02+0.98×0.077171559=0.095628128, or 9.56%. The unconditional probabilities of the corresponding branches are 2.94%, 1.715%, 0.98%, 1.568% and 0.588%, plus the separate 2.00% shared incident branch. Residual branches can overlap, so adding them would overstate the combined result.</w:t>
      </w:r>
    </w:p>
    <w:p w14:paraId="5E0C4270" w14:textId="77777777" w:rsidR="00736F9E" w:rsidRPr="00736F9E" w:rsidRDefault="00736F9E" w:rsidP="00736F9E">
      <w:pPr>
        <w:spacing w:line="480" w:lineRule="auto"/>
        <w:jc w:val="both"/>
        <w:rPr>
          <w:rFonts w:asciiTheme="minorBidi" w:hAnsiTheme="minorBidi"/>
        </w:rPr>
      </w:pPr>
      <w:r w:rsidRPr="00736F9E">
        <w:rPr>
          <w:rFonts w:asciiTheme="minorBidi" w:hAnsiTheme="minorBidi"/>
        </w:rPr>
        <w:lastRenderedPageBreak/>
        <w:t>Every numerical input is an analyst assumption; neither attachment supplies incident counts, inspection denominators or recovery measurements. Research supports the causal reasoning, not these rates. Assume stable product and route mixes, sufficient replacement capacity within stated fallback probabilities, and no additional unmodelled mechanisms. Supplier insolvency is included within shortfall; quality quarantine contributes to inventory discrepancy. These classifications must be reconciled during calibration to prevent double counting.</w:t>
      </w:r>
    </w:p>
    <w:p w14:paraId="175DB867" w14:textId="77777777" w:rsidR="00736F9E" w:rsidRPr="00736F9E" w:rsidRDefault="00736F9E" w:rsidP="00736F9E">
      <w:pPr>
        <w:spacing w:line="480" w:lineRule="auto"/>
        <w:jc w:val="both"/>
        <w:rPr>
          <w:rFonts w:asciiTheme="minorBidi" w:hAnsiTheme="minorBidi"/>
        </w:rPr>
      </w:pPr>
      <w:r w:rsidRPr="00736F9E">
        <w:rPr>
          <w:rFonts w:asciiTheme="minorBidi" w:hAnsiTheme="minorBidi"/>
        </w:rPr>
        <w:t>Collect supplier acceptance records, defect escape audits, packaging logger readings, maintenance histories, customs timestamps, carrier delivery records and order reconciliation logs. Traceability research identifies record inaccuracy and disconnected information as practical weaknesses (Badia-Melis, Mishra and Ruiz-García, 2015). Link observations through batch and shipment identifiers, recording successful cases as denominators. Independent inspectors should validate missed defects using retained samples and complaints.</w:t>
      </w:r>
    </w:p>
    <w:p w14:paraId="0178089C" w14:textId="77777777" w:rsidR="00736F9E" w:rsidRPr="00736F9E" w:rsidRDefault="00736F9E" w:rsidP="00736F9E">
      <w:pPr>
        <w:spacing w:line="480" w:lineRule="auto"/>
        <w:jc w:val="both"/>
        <w:rPr>
          <w:rFonts w:asciiTheme="minorBidi" w:hAnsiTheme="minorBidi"/>
        </w:rPr>
      </w:pPr>
      <w:r w:rsidRPr="00736F9E">
        <w:rPr>
          <w:rFonts w:asciiTheme="minorBidi" w:hAnsiTheme="minorBidi"/>
        </w:rPr>
        <w:t xml:space="preserve">Without residual independence, probability bounds put delivery failure between 4.94% and 9.79% under the same branch inputs. Raising the shared incident probability to 0.06 increases the independence estimate to 13.25%. Such disruption propagation matters when warehouses share digital infrastructure (Ivanov, </w:t>
      </w:r>
      <w:proofErr w:type="spellStart"/>
      <w:r w:rsidRPr="00736F9E">
        <w:rPr>
          <w:rFonts w:asciiTheme="minorBidi" w:hAnsiTheme="minorBidi"/>
        </w:rPr>
        <w:t>Dolgui</w:t>
      </w:r>
      <w:proofErr w:type="spellEnd"/>
      <w:r w:rsidRPr="00736F9E">
        <w:rPr>
          <w:rFonts w:asciiTheme="minorBidi" w:hAnsiTheme="minorBidi"/>
        </w:rPr>
        <w:t xml:space="preserve"> and Sokolov, 2019). These are sensitivity scenarios, not confidence intervals. Real observations should support interval estimates before contractual promises rely on the model.</w:t>
      </w:r>
    </w:p>
    <w:p w14:paraId="74EEFD32" w14:textId="77777777" w:rsidR="00736F9E" w:rsidRPr="00736F9E" w:rsidRDefault="00736F9E" w:rsidP="00736F9E">
      <w:pPr>
        <w:spacing w:line="480" w:lineRule="auto"/>
        <w:jc w:val="both"/>
        <w:rPr>
          <w:rFonts w:asciiTheme="minorBidi" w:hAnsiTheme="minorBidi"/>
        </w:rPr>
      </w:pPr>
      <w:r w:rsidRPr="00736F9E">
        <w:rPr>
          <w:rFonts w:asciiTheme="minorBidi" w:hAnsiTheme="minorBidi"/>
        </w:rPr>
        <w:t xml:space="preserve">The lower bound uses the largest conditional branch, 0.03; the upper uses their sum, 0.0795. Both include the separate shared incident through 0.02+0.98p. This exposes how much the estimate depends on relationships between mechanisms. It does not address uncertainty in the assumed branch probabilities themselves. During the pilot, </w:t>
      </w:r>
      <w:r w:rsidRPr="00736F9E">
        <w:rPr>
          <w:rFonts w:asciiTheme="minorBidi" w:hAnsiTheme="minorBidi"/>
        </w:rPr>
        <w:lastRenderedPageBreak/>
        <w:t>compare predicted and observed outcomes by route, season and supplier. Investigate systematic underprediction before pooling observations. Sampling only successful deliveries would hide cancellations and rejected stock, biasing both models. Record those outcomes from the original schedule. Commission structured expert elicitation where observations remain sparse, documenting disagreement instead of averaging away material concerns.</w:t>
      </w:r>
    </w:p>
    <w:p w14:paraId="0F744DAC" w14:textId="77777777" w:rsidR="00736F9E" w:rsidRPr="00736F9E" w:rsidRDefault="00736F9E" w:rsidP="00736F9E">
      <w:pPr>
        <w:spacing w:line="480" w:lineRule="auto"/>
        <w:jc w:val="both"/>
        <w:rPr>
          <w:rFonts w:asciiTheme="minorBidi" w:hAnsiTheme="minorBidi"/>
          <w:b/>
          <w:bCs/>
        </w:rPr>
      </w:pPr>
      <w:r w:rsidRPr="00736F9E">
        <w:rPr>
          <w:rFonts w:asciiTheme="minorBidi" w:hAnsiTheme="minorBidi"/>
          <w:b/>
          <w:bCs/>
        </w:rPr>
        <w:t>An online service that survives premises loss</w:t>
      </w:r>
    </w:p>
    <w:p w14:paraId="7BD46AB7" w14:textId="77777777" w:rsidR="00736F9E" w:rsidRPr="00736F9E" w:rsidRDefault="00736F9E" w:rsidP="00736F9E">
      <w:pPr>
        <w:spacing w:line="480" w:lineRule="auto"/>
        <w:jc w:val="both"/>
        <w:rPr>
          <w:rFonts w:asciiTheme="minorBidi" w:hAnsiTheme="minorBidi"/>
        </w:rPr>
      </w:pPr>
      <w:r w:rsidRPr="00736F9E">
        <w:rPr>
          <w:rFonts w:asciiTheme="minorBidi" w:hAnsiTheme="minorBidi"/>
        </w:rPr>
        <w:t xml:space="preserve">Recommend Microsoft Azure, operated by a specialist provider with 24/7/365 support, as the hosting platform. Select it for an integrated operating arrangement covering application hosting, identity, monitoring and SQL Server recovery, subject to demonstrated competence and a complete cost quotation. A </w:t>
      </w:r>
      <w:proofErr w:type="gramStart"/>
      <w:r w:rsidRPr="00736F9E">
        <w:rPr>
          <w:rFonts w:asciiTheme="minorBidi" w:hAnsiTheme="minorBidi"/>
        </w:rPr>
        <w:t>four person</w:t>
      </w:r>
      <w:proofErr w:type="gramEnd"/>
      <w:r w:rsidRPr="00736F9E">
        <w:rPr>
          <w:rFonts w:asciiTheme="minorBidi" w:hAnsiTheme="minorBidi"/>
        </w:rPr>
        <w:t xml:space="preserve"> business should purchase accountable operational support rather than assume its existing staff can administer international infrastructure. Research on disaster recovery emphasises matching architecture and evaluation metrics to organisational requirements (Mendonça et al., 2019).</w:t>
      </w:r>
    </w:p>
    <w:p w14:paraId="1F0EE744" w14:textId="77777777" w:rsidR="00736F9E" w:rsidRPr="00736F9E" w:rsidRDefault="00736F9E" w:rsidP="00736F9E">
      <w:pPr>
        <w:spacing w:line="480" w:lineRule="auto"/>
        <w:jc w:val="both"/>
        <w:rPr>
          <w:rFonts w:asciiTheme="minorBidi" w:hAnsiTheme="minorBidi"/>
        </w:rPr>
      </w:pPr>
      <w:r w:rsidRPr="00736F9E">
        <w:rPr>
          <w:rFonts w:asciiTheme="minorBidi" w:hAnsiTheme="minorBidi"/>
        </w:rPr>
        <w:t>Run the storefront outside the shop from the outset, with application instances already active in two separate Azure regions. Each region must carry peak demand alone. Place no required authentication, payment callback, stock database or name service at the premises. A shop fire then leaves online processing running, giving zero service changeover and no loss of centrally acknowledged orders for that defined event. Provide replacement staff devices, remote access and an alternative dispatch arrangement.</w:t>
      </w:r>
    </w:p>
    <w:p w14:paraId="19CAEE0D" w14:textId="77777777" w:rsidR="00736F9E" w:rsidRPr="00736F9E" w:rsidRDefault="00736F9E" w:rsidP="00736F9E">
      <w:pPr>
        <w:spacing w:line="480" w:lineRule="auto"/>
        <w:jc w:val="both"/>
        <w:rPr>
          <w:rFonts w:asciiTheme="minorBidi" w:hAnsiTheme="minorBidi"/>
        </w:rPr>
      </w:pPr>
      <w:r w:rsidRPr="00736F9E">
        <w:rPr>
          <w:rFonts w:asciiTheme="minorBidi" w:hAnsiTheme="minorBidi"/>
        </w:rPr>
        <w:t xml:space="preserve">For additional regional protection, specify SQL Server Always On availability groups on Azure virtual machines, synchronous replication across three regions, automatic </w:t>
      </w:r>
      <w:r w:rsidRPr="00736F9E">
        <w:rPr>
          <w:rFonts w:asciiTheme="minorBidi" w:hAnsiTheme="minorBidi"/>
        </w:rPr>
        <w:lastRenderedPageBreak/>
        <w:t xml:space="preserve">failover and an independently placed quorum witness. Require a synchronised secondary for transaction commitment, preventing the primary from silently accepting unprotected writes after replication fails. Maintain one database writer, with cluster fencing preventing competing primaries. This adds latency and can suspend ordering during network partitions; those </w:t>
      </w:r>
      <w:proofErr w:type="spellStart"/>
      <w:r w:rsidRPr="00736F9E">
        <w:rPr>
          <w:rFonts w:asciiTheme="minorBidi" w:hAnsiTheme="minorBidi"/>
        </w:rPr>
        <w:t>tradeoffs</w:t>
      </w:r>
      <w:proofErr w:type="spellEnd"/>
      <w:r w:rsidRPr="00736F9E">
        <w:rPr>
          <w:rFonts w:asciiTheme="minorBidi" w:hAnsiTheme="minorBidi"/>
        </w:rPr>
        <w:t xml:space="preserve"> must be tested and priced.</w:t>
      </w:r>
    </w:p>
    <w:p w14:paraId="191B341A" w14:textId="77777777" w:rsidR="00736F9E" w:rsidRPr="00736F9E" w:rsidRDefault="00736F9E" w:rsidP="00736F9E">
      <w:pPr>
        <w:spacing w:line="480" w:lineRule="auto"/>
        <w:jc w:val="both"/>
        <w:rPr>
          <w:rFonts w:asciiTheme="minorBidi" w:hAnsiTheme="minorBidi"/>
        </w:rPr>
      </w:pPr>
      <w:r w:rsidRPr="00736F9E">
        <w:rPr>
          <w:rFonts w:asciiTheme="minorBidi" w:hAnsiTheme="minorBidi"/>
        </w:rPr>
        <w:t>Use one database replica per region so a single regional loss leaves two replicas capable of protected commitment. Verify quorum placement against each failure scenario. The operations contract must include overnight response, patching, certificate renewal and recovery exercises. Compare complete annual costs with a managed storefront supplier that can demonstrate equivalent recovery, data export and integration capabilities before accepting the bespoke design.</w:t>
      </w:r>
    </w:p>
    <w:p w14:paraId="43AA98F2" w14:textId="77777777" w:rsidR="00736F9E" w:rsidRPr="00736F9E" w:rsidRDefault="00736F9E" w:rsidP="00736F9E">
      <w:pPr>
        <w:spacing w:line="480" w:lineRule="auto"/>
        <w:jc w:val="both"/>
        <w:rPr>
          <w:rFonts w:asciiTheme="minorBidi" w:hAnsiTheme="minorBidi"/>
        </w:rPr>
      </w:pPr>
      <w:r w:rsidRPr="00736F9E">
        <w:rPr>
          <w:rFonts w:asciiTheme="minorBidi" w:hAnsiTheme="minorBidi"/>
        </w:rPr>
        <w:t>Keep orders, inventory reservations and payment reconciliation identifiers in the protected transaction store. Acknowledge orders only after durable replication. Use idempotent transaction identifiers so retries cannot create duplicate purchases. Replicate necessary documents before publication, and avoid sessions held solely in application memory. Customer traffic needs continuous health checks and routing to surviving application instances without waiting for a manual DNS change. External payment availability remains a dependency requiring separate contractual assessment.</w:t>
      </w:r>
    </w:p>
    <w:p w14:paraId="02BA4B0B" w14:textId="77777777" w:rsidR="00736F9E" w:rsidRPr="00736F9E" w:rsidRDefault="00736F9E" w:rsidP="00736F9E">
      <w:pPr>
        <w:spacing w:line="480" w:lineRule="auto"/>
        <w:jc w:val="both"/>
        <w:rPr>
          <w:rFonts w:asciiTheme="minorBidi" w:hAnsiTheme="minorBidi"/>
        </w:rPr>
      </w:pPr>
      <w:r w:rsidRPr="00736F9E">
        <w:rPr>
          <w:rFonts w:asciiTheme="minorBidi" w:hAnsiTheme="minorBidi"/>
        </w:rPr>
        <w:t xml:space="preserve">Set a design budget of eight seconds for detecting interruption, twenty seconds for safe database takeover, twelve seconds for connection and traffic recovery, and ten seconds for successful transaction verification: fifty </w:t>
      </w:r>
      <w:proofErr w:type="gramStart"/>
      <w:r w:rsidRPr="00736F9E">
        <w:rPr>
          <w:rFonts w:asciiTheme="minorBidi" w:hAnsiTheme="minorBidi"/>
        </w:rPr>
        <w:t>seconds</w:t>
      </w:r>
      <w:proofErr w:type="gramEnd"/>
      <w:r w:rsidRPr="00736F9E">
        <w:rPr>
          <w:rFonts w:asciiTheme="minorBidi" w:hAnsiTheme="minorBidi"/>
        </w:rPr>
        <w:t xml:space="preserve"> total. Recovery time starts when customer transactions fail, not when an operator notices. This is a proposed acceptance threshold, not a measured Azure guarantee. Demonstrate recovery below </w:t>
      </w:r>
      <w:r w:rsidRPr="00736F9E">
        <w:rPr>
          <w:rFonts w:asciiTheme="minorBidi" w:hAnsiTheme="minorBidi"/>
        </w:rPr>
        <w:lastRenderedPageBreak/>
        <w:t>sixty seconds at peak load, with zero lost acknowledged transactions under the specified single failure tests.</w:t>
      </w:r>
    </w:p>
    <w:p w14:paraId="3FDD9147" w14:textId="77777777" w:rsidR="00736F9E" w:rsidRPr="00736F9E" w:rsidRDefault="00736F9E" w:rsidP="00736F9E">
      <w:pPr>
        <w:spacing w:line="480" w:lineRule="auto"/>
        <w:jc w:val="both"/>
        <w:rPr>
          <w:rFonts w:asciiTheme="minorBidi" w:hAnsiTheme="minorBidi"/>
        </w:rPr>
      </w:pPr>
      <w:r w:rsidRPr="00736F9E">
        <w:rPr>
          <w:rFonts w:asciiTheme="minorBidi" w:hAnsiTheme="minorBidi"/>
        </w:rPr>
        <w:t>Synchronous commitment targets a recovery point of zero, within the permitted sixty seconds. Test replication interruption, primary isolation, premises destruction and expired operational credentials using independent transaction records. Capacity, quorum and routing must all remain available for the regional target to hold. Continuous service is an operating requirement, not a claim that every conceivable disaster can be survived without interruption. Document exceptions before Cathy accepts residual exposure.</w:t>
      </w:r>
    </w:p>
    <w:p w14:paraId="321B380C" w14:textId="77777777" w:rsidR="00736F9E" w:rsidRPr="00736F9E" w:rsidRDefault="00736F9E" w:rsidP="00736F9E">
      <w:pPr>
        <w:spacing w:line="480" w:lineRule="auto"/>
        <w:jc w:val="both"/>
        <w:rPr>
          <w:rFonts w:asciiTheme="minorBidi" w:hAnsiTheme="minorBidi"/>
        </w:rPr>
      </w:pPr>
      <w:r w:rsidRPr="00736F9E">
        <w:rPr>
          <w:rFonts w:asciiTheme="minorBidi" w:hAnsiTheme="minorBidi"/>
        </w:rPr>
        <w:t>Maintain immutable backups under separate administrative control because replication also propagates malicious deletion. Clean restoration after compromise is a different recovery process and may exceed one minute. Exercise it separately. Portable application images, documented interfaces and regular database exports should support exit, while SQL Server licensing and Azure identity integrations remain dependencies. Kaur, Sharma and Kahlon (2017) distinguish portability from interoperability; neither follows automatically from cloud adoption. Require exit assistance, export testing and disclosed transfer costs, and rehearse restoration with another host annually.</w:t>
      </w:r>
    </w:p>
    <w:p w14:paraId="5941FA60" w14:textId="77777777" w:rsidR="00736F9E" w:rsidRPr="00736F9E" w:rsidRDefault="00736F9E" w:rsidP="00736F9E">
      <w:pPr>
        <w:spacing w:line="480" w:lineRule="auto"/>
        <w:jc w:val="both"/>
        <w:rPr>
          <w:rFonts w:asciiTheme="minorBidi" w:hAnsiTheme="minorBidi"/>
          <w:b/>
          <w:bCs/>
        </w:rPr>
      </w:pPr>
      <w:r w:rsidRPr="00736F9E">
        <w:rPr>
          <w:rFonts w:asciiTheme="minorBidi" w:hAnsiTheme="minorBidi"/>
          <w:b/>
          <w:bCs/>
        </w:rPr>
        <w:t>Conditions for releasing the investment</w:t>
      </w:r>
    </w:p>
    <w:p w14:paraId="532F22CB" w14:textId="77777777" w:rsidR="00736F9E" w:rsidRPr="00736F9E" w:rsidRDefault="00736F9E" w:rsidP="00736F9E">
      <w:pPr>
        <w:spacing w:line="480" w:lineRule="auto"/>
        <w:jc w:val="both"/>
        <w:rPr>
          <w:rFonts w:asciiTheme="minorBidi" w:hAnsiTheme="minorBidi"/>
        </w:rPr>
      </w:pPr>
      <w:r w:rsidRPr="00736F9E">
        <w:rPr>
          <w:rFonts w:asciiTheme="minorBidi" w:hAnsiTheme="minorBidi"/>
        </w:rPr>
        <w:t xml:space="preserve">First, protect product conformity before seeking additional volume. Introduce independent approval of specification changes, packaging qualification, environmental exception review and a release hold whenever records disagree with physical goods. In a control scenario, reduce quality escape probabilities to 0.04, 0.05 and 0.08 while retaining initiation rates. The recalculation gives </w:t>
      </w:r>
      <w:r w:rsidRPr="00736F9E">
        <w:rPr>
          <w:rFonts w:asciiTheme="minorBidi" w:hAnsiTheme="minorBidi"/>
        </w:rPr>
        <w:lastRenderedPageBreak/>
        <w:t>0.025×0.04+0.018×0.05+0.012×0.08=0.00286, or 0.286%. This is an improvement target requiring validation, not evidence that the controls already work. Separate safety defects from cosmetic failures when deciding acceptability.</w:t>
      </w:r>
    </w:p>
    <w:p w14:paraId="5256B17E" w14:textId="77777777" w:rsidR="00736F9E" w:rsidRPr="00736F9E" w:rsidRDefault="00736F9E" w:rsidP="00736F9E">
      <w:pPr>
        <w:spacing w:line="480" w:lineRule="auto"/>
        <w:jc w:val="both"/>
        <w:rPr>
          <w:rFonts w:asciiTheme="minorBidi" w:hAnsiTheme="minorBidi"/>
        </w:rPr>
      </w:pPr>
      <w:r w:rsidRPr="00736F9E">
        <w:rPr>
          <w:rFonts w:asciiTheme="minorBidi" w:hAnsiTheme="minorBidi"/>
        </w:rPr>
        <w:t xml:space="preserve">Second, secure continuous trading and lawful data handling before launch. Require evidence against ISO/IEC 27001:2022, with documented responsibility, supplier oversight, access reviews and incident exercises. Align continuity management with ISO 22301:2019. The earlier risk assessment does not establish certification or current compliance. Segregate warehouse controllers from public services, restrict remote maintenance, enforce multifactor authentication and protect encryption keys. Cloud security depends on coordinated identity, privacy and integrity measures (Abdulsalam and </w:t>
      </w:r>
      <w:proofErr w:type="spellStart"/>
      <w:r w:rsidRPr="00736F9E">
        <w:rPr>
          <w:rFonts w:asciiTheme="minorBidi" w:hAnsiTheme="minorBidi"/>
        </w:rPr>
        <w:t>Hedabou</w:t>
      </w:r>
      <w:proofErr w:type="spellEnd"/>
      <w:r w:rsidRPr="00736F9E">
        <w:rPr>
          <w:rFonts w:asciiTheme="minorBidi" w:hAnsiTheme="minorBidi"/>
        </w:rPr>
        <w:t>, 2022). Outsource card handling and verify applicable PCI DSS obligations.</w:t>
      </w:r>
    </w:p>
    <w:p w14:paraId="62E41041" w14:textId="77777777" w:rsidR="00736F9E" w:rsidRPr="00736F9E" w:rsidRDefault="00736F9E" w:rsidP="00736F9E">
      <w:pPr>
        <w:spacing w:line="480" w:lineRule="auto"/>
        <w:jc w:val="both"/>
        <w:rPr>
          <w:rFonts w:asciiTheme="minorBidi" w:hAnsiTheme="minorBidi"/>
        </w:rPr>
      </w:pPr>
      <w:r w:rsidRPr="00736F9E">
        <w:rPr>
          <w:rFonts w:asciiTheme="minorBidi" w:hAnsiTheme="minorBidi"/>
        </w:rPr>
        <w:t>GDPR is a regulation, not a new directive. Establish applicable UK and EU requirements from business activities and territorial scope. Treat privacy governance as a shared contractual responsibility without transferring Cathy's accountability to the host (</w:t>
      </w:r>
      <w:proofErr w:type="spellStart"/>
      <w:r w:rsidRPr="00736F9E">
        <w:rPr>
          <w:rFonts w:asciiTheme="minorBidi" w:hAnsiTheme="minorBidi"/>
        </w:rPr>
        <w:t>Georgiopoulou</w:t>
      </w:r>
      <w:proofErr w:type="spellEnd"/>
      <w:r w:rsidRPr="00736F9E">
        <w:rPr>
          <w:rFonts w:asciiTheme="minorBidi" w:hAnsiTheme="minorBidi"/>
        </w:rPr>
        <w:t xml:space="preserve">, Makri and </w:t>
      </w:r>
      <w:proofErr w:type="spellStart"/>
      <w:r w:rsidRPr="00736F9E">
        <w:rPr>
          <w:rFonts w:asciiTheme="minorBidi" w:hAnsiTheme="minorBidi"/>
        </w:rPr>
        <w:t>Lambrinoudakis</w:t>
      </w:r>
      <w:proofErr w:type="spellEnd"/>
      <w:r w:rsidRPr="00736F9E">
        <w:rPr>
          <w:rFonts w:asciiTheme="minorBidi" w:hAnsiTheme="minorBidi"/>
        </w:rPr>
        <w:t>, 2020). Record lawful purposes, minimise delivery information, establish retention periods and processor agreements, and assess international transfers including overseas support access. Apply required safeguards and assess whether a data protection impact assessment is necessary. Restrict royal delivery details while protecting every customer's rights. Maintain breach assessment, notification and evidence procedures.</w:t>
      </w:r>
    </w:p>
    <w:p w14:paraId="62507384" w14:textId="77777777" w:rsidR="00736F9E" w:rsidRPr="00736F9E" w:rsidRDefault="00736F9E" w:rsidP="00736F9E">
      <w:pPr>
        <w:spacing w:line="480" w:lineRule="auto"/>
        <w:jc w:val="both"/>
        <w:rPr>
          <w:rFonts w:asciiTheme="minorBidi" w:hAnsiTheme="minorBidi"/>
        </w:rPr>
      </w:pPr>
      <w:r w:rsidRPr="00736F9E">
        <w:rPr>
          <w:rFonts w:asciiTheme="minorBidi" w:hAnsiTheme="minorBidi"/>
        </w:rPr>
        <w:t xml:space="preserve">Train warehouse staff to stop unsafe machinery and challenge incorrect records without penalty. Preserve competent human release authority during automation. Assign deputies for the quality, logistics and technology owners, avoiding dependence </w:t>
      </w:r>
      <w:r w:rsidRPr="00736F9E">
        <w:rPr>
          <w:rFonts w:asciiTheme="minorBidi" w:hAnsiTheme="minorBidi"/>
        </w:rPr>
        <w:lastRenderedPageBreak/>
        <w:t>on one employee. Review exceptions weekly during the pilot and monthly thereafter. Stop expansion after a safety escape or failed recovery exercise until corrective action is independently verified. These duties remain important even when suppliers perform work.</w:t>
      </w:r>
    </w:p>
    <w:p w14:paraId="436C69FE" w14:textId="77777777" w:rsidR="00736F9E" w:rsidRPr="00736F9E" w:rsidRDefault="00736F9E" w:rsidP="00736F9E">
      <w:pPr>
        <w:spacing w:line="480" w:lineRule="auto"/>
        <w:jc w:val="both"/>
        <w:rPr>
          <w:rFonts w:asciiTheme="minorBidi" w:hAnsiTheme="minorBidi"/>
        </w:rPr>
      </w:pPr>
      <w:r w:rsidRPr="00736F9E">
        <w:rPr>
          <w:rFonts w:asciiTheme="minorBidi" w:hAnsiTheme="minorBidi"/>
        </w:rPr>
        <w:t xml:space="preserve">Third, improve delivery resilience through reserved alternative carrier capacity, customs document validation, spare equipment and stock allocation checks. Halving each residual delivery probability while reducing the shared incident probability to 0.005 produces 4.40% late shipments using the same formula. Compare the cost against avoidable refunds, lost margin, spoilage and reputation exposure once actual financial data exist. Cathy should authorise successive warehouses only after the pilot demonstrates effective release controls, acceptable delivery performance and tested recovery. Publish responsibilities and escalation thresholds </w:t>
      </w:r>
      <w:proofErr w:type="gramStart"/>
      <w:r w:rsidRPr="00736F9E">
        <w:rPr>
          <w:rFonts w:asciiTheme="minorBidi" w:hAnsiTheme="minorBidi"/>
        </w:rPr>
        <w:t>internally, and</w:t>
      </w:r>
      <w:proofErr w:type="gramEnd"/>
      <w:r w:rsidRPr="00736F9E">
        <w:rPr>
          <w:rFonts w:asciiTheme="minorBidi" w:hAnsiTheme="minorBidi"/>
        </w:rPr>
        <w:t xml:space="preserve"> provide customers with independently substantiated assurance rather than unsupported certainty.</w:t>
      </w:r>
    </w:p>
    <w:p w14:paraId="6213A5AF" w14:textId="77777777" w:rsidR="008010D2" w:rsidRDefault="008010D2" w:rsidP="00736F9E">
      <w:pPr>
        <w:spacing w:line="480" w:lineRule="auto"/>
        <w:jc w:val="both"/>
        <w:rPr>
          <w:rFonts w:asciiTheme="minorBidi" w:hAnsiTheme="minorBidi"/>
        </w:rPr>
      </w:pPr>
    </w:p>
    <w:p w14:paraId="5B815310" w14:textId="77777777" w:rsidR="00736F9E" w:rsidRDefault="00736F9E" w:rsidP="00736F9E">
      <w:pPr>
        <w:spacing w:line="480" w:lineRule="auto"/>
        <w:jc w:val="both"/>
        <w:rPr>
          <w:rFonts w:asciiTheme="minorBidi" w:hAnsiTheme="minorBidi"/>
        </w:rPr>
      </w:pPr>
    </w:p>
    <w:p w14:paraId="74873311" w14:textId="77777777" w:rsidR="00736F9E" w:rsidRDefault="00736F9E" w:rsidP="00736F9E">
      <w:pPr>
        <w:spacing w:line="480" w:lineRule="auto"/>
        <w:jc w:val="both"/>
        <w:rPr>
          <w:rFonts w:asciiTheme="minorBidi" w:hAnsiTheme="minorBidi"/>
        </w:rPr>
      </w:pPr>
    </w:p>
    <w:p w14:paraId="1A3D633A" w14:textId="77777777" w:rsidR="00736F9E" w:rsidRDefault="00736F9E" w:rsidP="00736F9E">
      <w:pPr>
        <w:spacing w:line="480" w:lineRule="auto"/>
        <w:jc w:val="both"/>
        <w:rPr>
          <w:rFonts w:asciiTheme="minorBidi" w:hAnsiTheme="minorBidi"/>
        </w:rPr>
      </w:pPr>
    </w:p>
    <w:p w14:paraId="69DD7D74" w14:textId="77777777" w:rsidR="00736F9E" w:rsidRDefault="00736F9E" w:rsidP="00736F9E">
      <w:pPr>
        <w:spacing w:line="480" w:lineRule="auto"/>
        <w:jc w:val="both"/>
        <w:rPr>
          <w:rFonts w:asciiTheme="minorBidi" w:hAnsiTheme="minorBidi"/>
        </w:rPr>
      </w:pPr>
    </w:p>
    <w:p w14:paraId="5A8472D1" w14:textId="77777777" w:rsidR="00736F9E" w:rsidRDefault="00736F9E" w:rsidP="00736F9E">
      <w:pPr>
        <w:spacing w:line="480" w:lineRule="auto"/>
        <w:jc w:val="both"/>
        <w:rPr>
          <w:rFonts w:asciiTheme="minorBidi" w:hAnsiTheme="minorBidi"/>
        </w:rPr>
      </w:pPr>
    </w:p>
    <w:p w14:paraId="749C2562" w14:textId="77777777" w:rsidR="00736F9E" w:rsidRDefault="00736F9E" w:rsidP="00736F9E">
      <w:pPr>
        <w:spacing w:line="480" w:lineRule="auto"/>
        <w:jc w:val="both"/>
        <w:rPr>
          <w:rFonts w:asciiTheme="minorBidi" w:hAnsiTheme="minorBidi"/>
        </w:rPr>
      </w:pPr>
    </w:p>
    <w:p w14:paraId="01520E42" w14:textId="77777777" w:rsidR="00736F9E" w:rsidRDefault="00736F9E" w:rsidP="00736F9E">
      <w:pPr>
        <w:spacing w:line="480" w:lineRule="auto"/>
        <w:jc w:val="both"/>
        <w:rPr>
          <w:rFonts w:asciiTheme="minorBidi" w:hAnsiTheme="minorBidi"/>
        </w:rPr>
      </w:pPr>
    </w:p>
    <w:p w14:paraId="5DDBDD2A" w14:textId="6558253E" w:rsidR="00736F9E" w:rsidRPr="00736F9E" w:rsidRDefault="00736F9E" w:rsidP="00736F9E">
      <w:pPr>
        <w:spacing w:line="480" w:lineRule="auto"/>
        <w:jc w:val="both"/>
        <w:rPr>
          <w:rFonts w:asciiTheme="minorBidi" w:hAnsiTheme="minorBidi"/>
          <w:b/>
          <w:bCs/>
          <w:i/>
          <w:iCs/>
        </w:rPr>
      </w:pPr>
      <w:r w:rsidRPr="00736F9E">
        <w:rPr>
          <w:rFonts w:asciiTheme="minorBidi" w:hAnsiTheme="minorBidi"/>
          <w:b/>
          <w:bCs/>
          <w:i/>
          <w:iCs/>
        </w:rPr>
        <w:lastRenderedPageBreak/>
        <w:t>References</w:t>
      </w:r>
    </w:p>
    <w:p w14:paraId="4BF767CA" w14:textId="77777777" w:rsidR="00736F9E" w:rsidRPr="00736F9E" w:rsidRDefault="00736F9E" w:rsidP="00736F9E">
      <w:pPr>
        <w:spacing w:line="480" w:lineRule="auto"/>
        <w:jc w:val="both"/>
        <w:rPr>
          <w:rFonts w:asciiTheme="minorBidi" w:hAnsiTheme="minorBidi"/>
        </w:rPr>
      </w:pPr>
      <w:r w:rsidRPr="00736F9E">
        <w:rPr>
          <w:rFonts w:asciiTheme="minorBidi" w:hAnsiTheme="minorBidi"/>
        </w:rPr>
        <w:t xml:space="preserve">Abdulsalam, Y.S. and </w:t>
      </w:r>
      <w:proofErr w:type="spellStart"/>
      <w:r w:rsidRPr="00736F9E">
        <w:rPr>
          <w:rFonts w:asciiTheme="minorBidi" w:hAnsiTheme="minorBidi"/>
        </w:rPr>
        <w:t>Hedabou</w:t>
      </w:r>
      <w:proofErr w:type="spellEnd"/>
      <w:r w:rsidRPr="00736F9E">
        <w:rPr>
          <w:rFonts w:asciiTheme="minorBidi" w:hAnsiTheme="minorBidi"/>
        </w:rPr>
        <w:t xml:space="preserve">, M. (2022) ‘Security and privacy in cloud computing: Technical review’, </w:t>
      </w:r>
      <w:r w:rsidRPr="00736F9E">
        <w:rPr>
          <w:rFonts w:asciiTheme="minorBidi" w:hAnsiTheme="minorBidi"/>
          <w:i/>
          <w:iCs/>
        </w:rPr>
        <w:t>Future Internet</w:t>
      </w:r>
      <w:r w:rsidRPr="00736F9E">
        <w:rPr>
          <w:rFonts w:asciiTheme="minorBidi" w:hAnsiTheme="minorBidi"/>
        </w:rPr>
        <w:t xml:space="preserve">, 14(1), article 11. </w:t>
      </w:r>
      <w:hyperlink r:id="rId6" w:history="1">
        <w:r w:rsidRPr="00736F9E">
          <w:rPr>
            <w:rStyle w:val="Hyperlink"/>
            <w:rFonts w:asciiTheme="minorBidi" w:hAnsiTheme="minorBidi"/>
          </w:rPr>
          <w:t>doi:10.3390/fi14010011</w:t>
        </w:r>
      </w:hyperlink>
      <w:r w:rsidRPr="00736F9E">
        <w:rPr>
          <w:rFonts w:asciiTheme="minorBidi" w:hAnsiTheme="minorBidi"/>
        </w:rPr>
        <w:t>.</w:t>
      </w:r>
    </w:p>
    <w:p w14:paraId="6D5586FF" w14:textId="77777777" w:rsidR="00736F9E" w:rsidRPr="00736F9E" w:rsidRDefault="00736F9E" w:rsidP="00736F9E">
      <w:pPr>
        <w:spacing w:line="480" w:lineRule="auto"/>
        <w:jc w:val="both"/>
        <w:rPr>
          <w:rFonts w:asciiTheme="minorBidi" w:hAnsiTheme="minorBidi"/>
        </w:rPr>
      </w:pPr>
      <w:r w:rsidRPr="00736F9E">
        <w:rPr>
          <w:rFonts w:asciiTheme="minorBidi" w:hAnsiTheme="minorBidi"/>
        </w:rPr>
        <w:t xml:space="preserve">Azadeh, K., de Koster, R. and Roy, D. (2019) ‘Robotized and automated warehouse systems: Review and recent developments’, </w:t>
      </w:r>
      <w:r w:rsidRPr="00736F9E">
        <w:rPr>
          <w:rFonts w:asciiTheme="minorBidi" w:hAnsiTheme="minorBidi"/>
          <w:i/>
          <w:iCs/>
        </w:rPr>
        <w:t>Transportation Science</w:t>
      </w:r>
      <w:r w:rsidRPr="00736F9E">
        <w:rPr>
          <w:rFonts w:asciiTheme="minorBidi" w:hAnsiTheme="minorBidi"/>
        </w:rPr>
        <w:t xml:space="preserve">, 53(4), pp. 917–945. </w:t>
      </w:r>
      <w:hyperlink r:id="rId7" w:history="1">
        <w:r w:rsidRPr="00736F9E">
          <w:rPr>
            <w:rStyle w:val="Hyperlink"/>
            <w:rFonts w:asciiTheme="minorBidi" w:hAnsiTheme="minorBidi"/>
          </w:rPr>
          <w:t>doi:10.1287/trsc.2018.0873</w:t>
        </w:r>
      </w:hyperlink>
      <w:r w:rsidRPr="00736F9E">
        <w:rPr>
          <w:rFonts w:asciiTheme="minorBidi" w:hAnsiTheme="minorBidi"/>
        </w:rPr>
        <w:t>.</w:t>
      </w:r>
    </w:p>
    <w:p w14:paraId="0528E3F2" w14:textId="77777777" w:rsidR="00736F9E" w:rsidRPr="00736F9E" w:rsidRDefault="00736F9E" w:rsidP="00736F9E">
      <w:pPr>
        <w:spacing w:line="480" w:lineRule="auto"/>
        <w:jc w:val="both"/>
        <w:rPr>
          <w:rFonts w:asciiTheme="minorBidi" w:hAnsiTheme="minorBidi"/>
        </w:rPr>
      </w:pPr>
      <w:r w:rsidRPr="00736F9E">
        <w:rPr>
          <w:rFonts w:asciiTheme="minorBidi" w:hAnsiTheme="minorBidi"/>
        </w:rPr>
        <w:t xml:space="preserve">Badia-Melis, R., Mishra, P. and Ruiz-García, L. (2015) ‘Food traceability: New trends and recent advances. A review’, </w:t>
      </w:r>
      <w:r w:rsidRPr="00736F9E">
        <w:rPr>
          <w:rFonts w:asciiTheme="minorBidi" w:hAnsiTheme="minorBidi"/>
          <w:i/>
          <w:iCs/>
        </w:rPr>
        <w:t>Food Control</w:t>
      </w:r>
      <w:r w:rsidRPr="00736F9E">
        <w:rPr>
          <w:rFonts w:asciiTheme="minorBidi" w:hAnsiTheme="minorBidi"/>
        </w:rPr>
        <w:t xml:space="preserve">, 57, pp. 393–401. </w:t>
      </w:r>
      <w:hyperlink r:id="rId8" w:history="1">
        <w:proofErr w:type="gramStart"/>
        <w:r w:rsidRPr="00736F9E">
          <w:rPr>
            <w:rStyle w:val="Hyperlink"/>
            <w:rFonts w:asciiTheme="minorBidi" w:hAnsiTheme="minorBidi"/>
          </w:rPr>
          <w:t>doi:10.1016/j.foodcont</w:t>
        </w:r>
        <w:proofErr w:type="gramEnd"/>
        <w:r w:rsidRPr="00736F9E">
          <w:rPr>
            <w:rStyle w:val="Hyperlink"/>
            <w:rFonts w:asciiTheme="minorBidi" w:hAnsiTheme="minorBidi"/>
          </w:rPr>
          <w:t>.2015.05.005</w:t>
        </w:r>
      </w:hyperlink>
      <w:r w:rsidRPr="00736F9E">
        <w:rPr>
          <w:rFonts w:asciiTheme="minorBidi" w:hAnsiTheme="minorBidi"/>
        </w:rPr>
        <w:t>.</w:t>
      </w:r>
    </w:p>
    <w:p w14:paraId="0CBD5F68" w14:textId="77777777" w:rsidR="00736F9E" w:rsidRPr="00736F9E" w:rsidRDefault="00736F9E" w:rsidP="00736F9E">
      <w:pPr>
        <w:spacing w:line="480" w:lineRule="auto"/>
        <w:jc w:val="both"/>
        <w:rPr>
          <w:rFonts w:asciiTheme="minorBidi" w:hAnsiTheme="minorBidi"/>
        </w:rPr>
      </w:pPr>
      <w:r w:rsidRPr="00736F9E">
        <w:rPr>
          <w:rFonts w:asciiTheme="minorBidi" w:hAnsiTheme="minorBidi"/>
        </w:rPr>
        <w:t xml:space="preserve">Georgiopoulou, Z., Makri, E.-L. and </w:t>
      </w:r>
      <w:proofErr w:type="spellStart"/>
      <w:r w:rsidRPr="00736F9E">
        <w:rPr>
          <w:rFonts w:asciiTheme="minorBidi" w:hAnsiTheme="minorBidi"/>
        </w:rPr>
        <w:t>Lambrinoudakis</w:t>
      </w:r>
      <w:proofErr w:type="spellEnd"/>
      <w:r w:rsidRPr="00736F9E">
        <w:rPr>
          <w:rFonts w:asciiTheme="minorBidi" w:hAnsiTheme="minorBidi"/>
        </w:rPr>
        <w:t xml:space="preserve">, C. (2020) ‘GDPR compliance: Proposed technical and organizational measures for cloud provider’, </w:t>
      </w:r>
      <w:r w:rsidRPr="00736F9E">
        <w:rPr>
          <w:rFonts w:asciiTheme="minorBidi" w:hAnsiTheme="minorBidi"/>
          <w:i/>
          <w:iCs/>
        </w:rPr>
        <w:t>Information &amp; Computer Security</w:t>
      </w:r>
      <w:r w:rsidRPr="00736F9E">
        <w:rPr>
          <w:rFonts w:asciiTheme="minorBidi" w:hAnsiTheme="minorBidi"/>
        </w:rPr>
        <w:t xml:space="preserve">, 28(5), pp. 665–680. </w:t>
      </w:r>
      <w:hyperlink r:id="rId9" w:history="1">
        <w:r w:rsidRPr="00736F9E">
          <w:rPr>
            <w:rStyle w:val="Hyperlink"/>
            <w:rFonts w:asciiTheme="minorBidi" w:hAnsiTheme="minorBidi"/>
          </w:rPr>
          <w:t>doi:10.1108/ICS-01-2020-0009</w:t>
        </w:r>
      </w:hyperlink>
      <w:r w:rsidRPr="00736F9E">
        <w:rPr>
          <w:rFonts w:asciiTheme="minorBidi" w:hAnsiTheme="minorBidi"/>
        </w:rPr>
        <w:t>.</w:t>
      </w:r>
    </w:p>
    <w:p w14:paraId="5801DDDD" w14:textId="77777777" w:rsidR="00736F9E" w:rsidRPr="00736F9E" w:rsidRDefault="00736F9E" w:rsidP="00736F9E">
      <w:pPr>
        <w:spacing w:line="480" w:lineRule="auto"/>
        <w:jc w:val="both"/>
        <w:rPr>
          <w:rFonts w:asciiTheme="minorBidi" w:hAnsiTheme="minorBidi"/>
        </w:rPr>
      </w:pPr>
      <w:r w:rsidRPr="00736F9E">
        <w:rPr>
          <w:rFonts w:asciiTheme="minorBidi" w:hAnsiTheme="minorBidi"/>
        </w:rPr>
        <w:t xml:space="preserve">Ho, W., Zheng, T., Yildiz, H. and Talluri, S. (2015) ‘Supply chain risk management: A literature review’, </w:t>
      </w:r>
      <w:r w:rsidRPr="00736F9E">
        <w:rPr>
          <w:rFonts w:asciiTheme="minorBidi" w:hAnsiTheme="minorBidi"/>
          <w:i/>
          <w:iCs/>
        </w:rPr>
        <w:t>International Journal of Production Research</w:t>
      </w:r>
      <w:r w:rsidRPr="00736F9E">
        <w:rPr>
          <w:rFonts w:asciiTheme="minorBidi" w:hAnsiTheme="minorBidi"/>
        </w:rPr>
        <w:t xml:space="preserve">, 53(16), pp. 5031–5069. </w:t>
      </w:r>
      <w:hyperlink r:id="rId10" w:history="1">
        <w:r w:rsidRPr="00736F9E">
          <w:rPr>
            <w:rStyle w:val="Hyperlink"/>
            <w:rFonts w:asciiTheme="minorBidi" w:hAnsiTheme="minorBidi"/>
          </w:rPr>
          <w:t>doi:10.1080/00207543.2015.1030467</w:t>
        </w:r>
      </w:hyperlink>
      <w:r w:rsidRPr="00736F9E">
        <w:rPr>
          <w:rFonts w:asciiTheme="minorBidi" w:hAnsiTheme="minorBidi"/>
        </w:rPr>
        <w:t>.</w:t>
      </w:r>
    </w:p>
    <w:p w14:paraId="5AA95341" w14:textId="77777777" w:rsidR="00736F9E" w:rsidRPr="00736F9E" w:rsidRDefault="00736F9E" w:rsidP="00736F9E">
      <w:pPr>
        <w:spacing w:line="480" w:lineRule="auto"/>
        <w:jc w:val="both"/>
        <w:rPr>
          <w:rFonts w:asciiTheme="minorBidi" w:hAnsiTheme="minorBidi"/>
        </w:rPr>
      </w:pPr>
      <w:r w:rsidRPr="00736F9E">
        <w:rPr>
          <w:rFonts w:asciiTheme="minorBidi" w:hAnsiTheme="minorBidi"/>
        </w:rPr>
        <w:t xml:space="preserve">Ivanov, D., </w:t>
      </w:r>
      <w:proofErr w:type="spellStart"/>
      <w:r w:rsidRPr="00736F9E">
        <w:rPr>
          <w:rFonts w:asciiTheme="minorBidi" w:hAnsiTheme="minorBidi"/>
        </w:rPr>
        <w:t>Dolgui</w:t>
      </w:r>
      <w:proofErr w:type="spellEnd"/>
      <w:r w:rsidRPr="00736F9E">
        <w:rPr>
          <w:rFonts w:asciiTheme="minorBidi" w:hAnsiTheme="minorBidi"/>
        </w:rPr>
        <w:t xml:space="preserve">, A. and Sokolov, B. (2019) ‘The impact of digital technology and Industry 4.0 on the ripple effect and supply chain risk analytics’, </w:t>
      </w:r>
      <w:r w:rsidRPr="00736F9E">
        <w:rPr>
          <w:rFonts w:asciiTheme="minorBidi" w:hAnsiTheme="minorBidi"/>
          <w:i/>
          <w:iCs/>
        </w:rPr>
        <w:t>International Journal of Production Research</w:t>
      </w:r>
      <w:r w:rsidRPr="00736F9E">
        <w:rPr>
          <w:rFonts w:asciiTheme="minorBidi" w:hAnsiTheme="minorBidi"/>
        </w:rPr>
        <w:t xml:space="preserve">, 57(3), pp. 829–846. </w:t>
      </w:r>
      <w:hyperlink r:id="rId11" w:history="1">
        <w:r w:rsidRPr="00736F9E">
          <w:rPr>
            <w:rStyle w:val="Hyperlink"/>
            <w:rFonts w:asciiTheme="minorBidi" w:hAnsiTheme="minorBidi"/>
          </w:rPr>
          <w:t>doi:10.1080/00207543.2018.1488086</w:t>
        </w:r>
      </w:hyperlink>
      <w:r w:rsidRPr="00736F9E">
        <w:rPr>
          <w:rFonts w:asciiTheme="minorBidi" w:hAnsiTheme="minorBidi"/>
        </w:rPr>
        <w:t>.</w:t>
      </w:r>
    </w:p>
    <w:p w14:paraId="2CEBDB00" w14:textId="77777777" w:rsidR="00736F9E" w:rsidRPr="00736F9E" w:rsidRDefault="00736F9E" w:rsidP="00736F9E">
      <w:pPr>
        <w:spacing w:line="480" w:lineRule="auto"/>
        <w:jc w:val="both"/>
        <w:rPr>
          <w:rFonts w:asciiTheme="minorBidi" w:hAnsiTheme="minorBidi"/>
        </w:rPr>
      </w:pPr>
      <w:r w:rsidRPr="00736F9E">
        <w:rPr>
          <w:rFonts w:asciiTheme="minorBidi" w:hAnsiTheme="minorBidi"/>
        </w:rPr>
        <w:t xml:space="preserve">Kaur, K., Sharma, S. and Kahlon, K.S. (2017) ‘Interoperability and portability approaches in inter-connected clouds: A review’, </w:t>
      </w:r>
      <w:r w:rsidRPr="00736F9E">
        <w:rPr>
          <w:rFonts w:asciiTheme="minorBidi" w:hAnsiTheme="minorBidi"/>
          <w:i/>
          <w:iCs/>
        </w:rPr>
        <w:t>ACM Computing Surveys</w:t>
      </w:r>
      <w:r w:rsidRPr="00736F9E">
        <w:rPr>
          <w:rFonts w:asciiTheme="minorBidi" w:hAnsiTheme="minorBidi"/>
        </w:rPr>
        <w:t xml:space="preserve">, 50(4), article 49, pp. 1–40. </w:t>
      </w:r>
      <w:hyperlink r:id="rId12" w:history="1">
        <w:r w:rsidRPr="00736F9E">
          <w:rPr>
            <w:rStyle w:val="Hyperlink"/>
            <w:rFonts w:asciiTheme="minorBidi" w:hAnsiTheme="minorBidi"/>
          </w:rPr>
          <w:t>doi:10.1145/3092698</w:t>
        </w:r>
      </w:hyperlink>
      <w:r w:rsidRPr="00736F9E">
        <w:rPr>
          <w:rFonts w:asciiTheme="minorBidi" w:hAnsiTheme="minorBidi"/>
        </w:rPr>
        <w:t>.</w:t>
      </w:r>
    </w:p>
    <w:p w14:paraId="6F3D6889" w14:textId="77777777" w:rsidR="00736F9E" w:rsidRPr="00736F9E" w:rsidRDefault="00736F9E" w:rsidP="00736F9E">
      <w:pPr>
        <w:spacing w:line="480" w:lineRule="auto"/>
        <w:jc w:val="both"/>
        <w:rPr>
          <w:rFonts w:asciiTheme="minorBidi" w:hAnsiTheme="minorBidi"/>
        </w:rPr>
      </w:pPr>
      <w:r w:rsidRPr="00736F9E">
        <w:rPr>
          <w:rFonts w:asciiTheme="minorBidi" w:hAnsiTheme="minorBidi"/>
        </w:rPr>
        <w:lastRenderedPageBreak/>
        <w:t xml:space="preserve">Mendonça, J., Andrade, E., Endo, P.T. and Lima, R. (2019) ‘Disaster recovery solutions for IT systems: A systematic mapping study’, </w:t>
      </w:r>
      <w:r w:rsidRPr="00736F9E">
        <w:rPr>
          <w:rFonts w:asciiTheme="minorBidi" w:hAnsiTheme="minorBidi"/>
          <w:i/>
          <w:iCs/>
        </w:rPr>
        <w:t>Journal of Systems and Software</w:t>
      </w:r>
      <w:r w:rsidRPr="00736F9E">
        <w:rPr>
          <w:rFonts w:asciiTheme="minorBidi" w:hAnsiTheme="minorBidi"/>
        </w:rPr>
        <w:t xml:space="preserve">, 149, pp. 511–530. </w:t>
      </w:r>
      <w:hyperlink r:id="rId13" w:history="1">
        <w:proofErr w:type="gramStart"/>
        <w:r w:rsidRPr="00736F9E">
          <w:rPr>
            <w:rStyle w:val="Hyperlink"/>
            <w:rFonts w:asciiTheme="minorBidi" w:hAnsiTheme="minorBidi"/>
          </w:rPr>
          <w:t>doi:10.1016/j.jss</w:t>
        </w:r>
        <w:proofErr w:type="gramEnd"/>
        <w:r w:rsidRPr="00736F9E">
          <w:rPr>
            <w:rStyle w:val="Hyperlink"/>
            <w:rFonts w:asciiTheme="minorBidi" w:hAnsiTheme="minorBidi"/>
          </w:rPr>
          <w:t>.2018.12.023</w:t>
        </w:r>
      </w:hyperlink>
      <w:r w:rsidRPr="00736F9E">
        <w:rPr>
          <w:rFonts w:asciiTheme="minorBidi" w:hAnsiTheme="minorBidi"/>
        </w:rPr>
        <w:t>.</w:t>
      </w:r>
    </w:p>
    <w:p w14:paraId="21E0524C" w14:textId="77777777" w:rsidR="00736F9E" w:rsidRPr="00736F9E" w:rsidRDefault="00736F9E" w:rsidP="00736F9E">
      <w:pPr>
        <w:spacing w:line="480" w:lineRule="auto"/>
        <w:jc w:val="both"/>
        <w:rPr>
          <w:rFonts w:asciiTheme="minorBidi" w:hAnsiTheme="minorBidi"/>
        </w:rPr>
      </w:pPr>
      <w:r w:rsidRPr="00736F9E">
        <w:rPr>
          <w:rFonts w:asciiTheme="minorBidi" w:hAnsiTheme="minorBidi"/>
        </w:rPr>
        <w:t xml:space="preserve">Qazi, A., Dickson, A., Quigley, J. and Gaudenzi, B. (2018) ‘Supply chain risk network management: A Bayesian belief network and expected </w:t>
      </w:r>
      <w:proofErr w:type="gramStart"/>
      <w:r w:rsidRPr="00736F9E">
        <w:rPr>
          <w:rFonts w:asciiTheme="minorBidi" w:hAnsiTheme="minorBidi"/>
        </w:rPr>
        <w:t>utility based</w:t>
      </w:r>
      <w:proofErr w:type="gramEnd"/>
      <w:r w:rsidRPr="00736F9E">
        <w:rPr>
          <w:rFonts w:asciiTheme="minorBidi" w:hAnsiTheme="minorBidi"/>
        </w:rPr>
        <w:t xml:space="preserve"> approach for managing supply chain risks’, </w:t>
      </w:r>
      <w:r w:rsidRPr="00736F9E">
        <w:rPr>
          <w:rFonts w:asciiTheme="minorBidi" w:hAnsiTheme="minorBidi"/>
          <w:i/>
          <w:iCs/>
        </w:rPr>
        <w:t>International Journal of Production Economics</w:t>
      </w:r>
      <w:r w:rsidRPr="00736F9E">
        <w:rPr>
          <w:rFonts w:asciiTheme="minorBidi" w:hAnsiTheme="minorBidi"/>
        </w:rPr>
        <w:t xml:space="preserve">, 196, pp. 24–42. </w:t>
      </w:r>
      <w:hyperlink r:id="rId14" w:history="1">
        <w:proofErr w:type="gramStart"/>
        <w:r w:rsidRPr="00736F9E">
          <w:rPr>
            <w:rStyle w:val="Hyperlink"/>
            <w:rFonts w:asciiTheme="minorBidi" w:hAnsiTheme="minorBidi"/>
          </w:rPr>
          <w:t>doi:10.1016/j.ijpe</w:t>
        </w:r>
        <w:proofErr w:type="gramEnd"/>
        <w:r w:rsidRPr="00736F9E">
          <w:rPr>
            <w:rStyle w:val="Hyperlink"/>
            <w:rFonts w:asciiTheme="minorBidi" w:hAnsiTheme="minorBidi"/>
          </w:rPr>
          <w:t>.2017.11.008</w:t>
        </w:r>
      </w:hyperlink>
      <w:r w:rsidRPr="00736F9E">
        <w:rPr>
          <w:rFonts w:asciiTheme="minorBidi" w:hAnsiTheme="minorBidi"/>
        </w:rPr>
        <w:t>.</w:t>
      </w:r>
    </w:p>
    <w:p w14:paraId="35C1F145" w14:textId="77777777" w:rsidR="00736F9E" w:rsidRPr="00736F9E" w:rsidRDefault="00736F9E" w:rsidP="00736F9E">
      <w:pPr>
        <w:spacing w:line="480" w:lineRule="auto"/>
        <w:jc w:val="both"/>
        <w:rPr>
          <w:rFonts w:asciiTheme="minorBidi" w:hAnsiTheme="minorBidi"/>
        </w:rPr>
      </w:pPr>
      <w:r w:rsidRPr="00736F9E">
        <w:rPr>
          <w:rFonts w:asciiTheme="minorBidi" w:hAnsiTheme="minorBidi"/>
        </w:rPr>
        <w:t xml:space="preserve">Tang, O. and Musa, S.N. (2011) ‘Identifying risk issues and research advancements in supply chain risk management’, </w:t>
      </w:r>
      <w:r w:rsidRPr="00736F9E">
        <w:rPr>
          <w:rFonts w:asciiTheme="minorBidi" w:hAnsiTheme="minorBidi"/>
          <w:i/>
          <w:iCs/>
        </w:rPr>
        <w:t>International Journal of Production Economics</w:t>
      </w:r>
      <w:r w:rsidRPr="00736F9E">
        <w:rPr>
          <w:rFonts w:asciiTheme="minorBidi" w:hAnsiTheme="minorBidi"/>
        </w:rPr>
        <w:t xml:space="preserve">, 133(1), pp. 25–34. </w:t>
      </w:r>
      <w:hyperlink r:id="rId15" w:history="1">
        <w:proofErr w:type="gramStart"/>
        <w:r w:rsidRPr="00736F9E">
          <w:rPr>
            <w:rStyle w:val="Hyperlink"/>
            <w:rFonts w:asciiTheme="minorBidi" w:hAnsiTheme="minorBidi"/>
          </w:rPr>
          <w:t>doi:10.1016/j.ijpe</w:t>
        </w:r>
        <w:proofErr w:type="gramEnd"/>
        <w:r w:rsidRPr="00736F9E">
          <w:rPr>
            <w:rStyle w:val="Hyperlink"/>
            <w:rFonts w:asciiTheme="minorBidi" w:hAnsiTheme="minorBidi"/>
          </w:rPr>
          <w:t>.2010.06.013</w:t>
        </w:r>
      </w:hyperlink>
      <w:r w:rsidRPr="00736F9E">
        <w:rPr>
          <w:rFonts w:asciiTheme="minorBidi" w:hAnsiTheme="minorBidi"/>
        </w:rPr>
        <w:t>.</w:t>
      </w:r>
    </w:p>
    <w:p w14:paraId="7E0F0AEB" w14:textId="77777777" w:rsidR="00736F9E" w:rsidRPr="00736F9E" w:rsidRDefault="00736F9E" w:rsidP="00736F9E">
      <w:pPr>
        <w:spacing w:line="480" w:lineRule="auto"/>
        <w:jc w:val="both"/>
        <w:rPr>
          <w:rFonts w:asciiTheme="minorBidi" w:hAnsiTheme="minorBidi"/>
        </w:rPr>
      </w:pPr>
    </w:p>
    <w:sectPr w:rsidR="00736F9E" w:rsidRPr="00736F9E" w:rsidSect="00736F9E">
      <w:footerReference w:type="default" r:id="rId16"/>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9269C5" w14:textId="77777777" w:rsidR="005721A2" w:rsidRDefault="005721A2" w:rsidP="00736F9E">
      <w:pPr>
        <w:spacing w:after="0" w:line="240" w:lineRule="auto"/>
      </w:pPr>
      <w:r>
        <w:separator/>
      </w:r>
    </w:p>
  </w:endnote>
  <w:endnote w:type="continuationSeparator" w:id="0">
    <w:p w14:paraId="2093AF51" w14:textId="77777777" w:rsidR="005721A2" w:rsidRDefault="005721A2" w:rsidP="00736F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7096982"/>
      <w:docPartObj>
        <w:docPartGallery w:val="Page Numbers (Bottom of Page)"/>
        <w:docPartUnique/>
      </w:docPartObj>
    </w:sdtPr>
    <w:sdtContent>
      <w:p w14:paraId="615E023C" w14:textId="0905A35B" w:rsidR="00736F9E" w:rsidRDefault="00736F9E">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67502FBA" w14:textId="77777777" w:rsidR="00736F9E" w:rsidRDefault="00736F9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3C7A31" w14:textId="77777777" w:rsidR="005721A2" w:rsidRDefault="005721A2" w:rsidP="00736F9E">
      <w:pPr>
        <w:spacing w:after="0" w:line="240" w:lineRule="auto"/>
      </w:pPr>
      <w:r>
        <w:separator/>
      </w:r>
    </w:p>
  </w:footnote>
  <w:footnote w:type="continuationSeparator" w:id="0">
    <w:p w14:paraId="3DF8949F" w14:textId="77777777" w:rsidR="005721A2" w:rsidRDefault="005721A2" w:rsidP="00736F9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6F9E"/>
    <w:rsid w:val="00424B51"/>
    <w:rsid w:val="005721A2"/>
    <w:rsid w:val="00736F9E"/>
    <w:rsid w:val="008010D2"/>
    <w:rsid w:val="00805390"/>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9BD0B9"/>
  <w15:chartTrackingRefBased/>
  <w15:docId w15:val="{9C20990D-AD81-4210-A8C9-BB84E6B28C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6F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6F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6F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6F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6F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6F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6F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6F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6F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6F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6F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6F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6F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6F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6F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6F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6F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6F9E"/>
    <w:rPr>
      <w:rFonts w:eastAsiaTheme="majorEastAsia" w:cstheme="majorBidi"/>
      <w:color w:val="272727" w:themeColor="text1" w:themeTint="D8"/>
    </w:rPr>
  </w:style>
  <w:style w:type="paragraph" w:styleId="Title">
    <w:name w:val="Title"/>
    <w:basedOn w:val="Normal"/>
    <w:next w:val="Normal"/>
    <w:link w:val="TitleChar"/>
    <w:uiPriority w:val="10"/>
    <w:qFormat/>
    <w:rsid w:val="00736F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6F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6F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6F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6F9E"/>
    <w:pPr>
      <w:spacing w:before="160"/>
      <w:jc w:val="center"/>
    </w:pPr>
    <w:rPr>
      <w:i/>
      <w:iCs/>
      <w:color w:val="404040" w:themeColor="text1" w:themeTint="BF"/>
    </w:rPr>
  </w:style>
  <w:style w:type="character" w:customStyle="1" w:styleId="QuoteChar">
    <w:name w:val="Quote Char"/>
    <w:basedOn w:val="DefaultParagraphFont"/>
    <w:link w:val="Quote"/>
    <w:uiPriority w:val="29"/>
    <w:rsid w:val="00736F9E"/>
    <w:rPr>
      <w:i/>
      <w:iCs/>
      <w:color w:val="404040" w:themeColor="text1" w:themeTint="BF"/>
    </w:rPr>
  </w:style>
  <w:style w:type="paragraph" w:styleId="ListParagraph">
    <w:name w:val="List Paragraph"/>
    <w:basedOn w:val="Normal"/>
    <w:uiPriority w:val="34"/>
    <w:qFormat/>
    <w:rsid w:val="00736F9E"/>
    <w:pPr>
      <w:ind w:left="720"/>
      <w:contextualSpacing/>
    </w:pPr>
  </w:style>
  <w:style w:type="character" w:styleId="IntenseEmphasis">
    <w:name w:val="Intense Emphasis"/>
    <w:basedOn w:val="DefaultParagraphFont"/>
    <w:uiPriority w:val="21"/>
    <w:qFormat/>
    <w:rsid w:val="00736F9E"/>
    <w:rPr>
      <w:i/>
      <w:iCs/>
      <w:color w:val="0F4761" w:themeColor="accent1" w:themeShade="BF"/>
    </w:rPr>
  </w:style>
  <w:style w:type="paragraph" w:styleId="IntenseQuote">
    <w:name w:val="Intense Quote"/>
    <w:basedOn w:val="Normal"/>
    <w:next w:val="Normal"/>
    <w:link w:val="IntenseQuoteChar"/>
    <w:uiPriority w:val="30"/>
    <w:qFormat/>
    <w:rsid w:val="00736F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6F9E"/>
    <w:rPr>
      <w:i/>
      <w:iCs/>
      <w:color w:val="0F4761" w:themeColor="accent1" w:themeShade="BF"/>
    </w:rPr>
  </w:style>
  <w:style w:type="character" w:styleId="IntenseReference">
    <w:name w:val="Intense Reference"/>
    <w:basedOn w:val="DefaultParagraphFont"/>
    <w:uiPriority w:val="32"/>
    <w:qFormat/>
    <w:rsid w:val="00736F9E"/>
    <w:rPr>
      <w:b/>
      <w:bCs/>
      <w:smallCaps/>
      <w:color w:val="0F4761" w:themeColor="accent1" w:themeShade="BF"/>
      <w:spacing w:val="5"/>
    </w:rPr>
  </w:style>
  <w:style w:type="paragraph" w:styleId="Header">
    <w:name w:val="header"/>
    <w:basedOn w:val="Normal"/>
    <w:link w:val="HeaderChar"/>
    <w:uiPriority w:val="99"/>
    <w:unhideWhenUsed/>
    <w:rsid w:val="00736F9E"/>
    <w:pPr>
      <w:tabs>
        <w:tab w:val="center" w:pos="4513"/>
        <w:tab w:val="right" w:pos="9026"/>
      </w:tabs>
      <w:spacing w:after="0" w:line="240" w:lineRule="auto"/>
    </w:pPr>
  </w:style>
  <w:style w:type="character" w:customStyle="1" w:styleId="HeaderChar">
    <w:name w:val="Header Char"/>
    <w:basedOn w:val="DefaultParagraphFont"/>
    <w:link w:val="Header"/>
    <w:uiPriority w:val="99"/>
    <w:rsid w:val="00736F9E"/>
  </w:style>
  <w:style w:type="paragraph" w:styleId="Footer">
    <w:name w:val="footer"/>
    <w:basedOn w:val="Normal"/>
    <w:link w:val="FooterChar"/>
    <w:uiPriority w:val="99"/>
    <w:unhideWhenUsed/>
    <w:rsid w:val="00736F9E"/>
    <w:pPr>
      <w:tabs>
        <w:tab w:val="center" w:pos="4513"/>
        <w:tab w:val="right" w:pos="9026"/>
      </w:tabs>
      <w:spacing w:after="0" w:line="240" w:lineRule="auto"/>
    </w:pPr>
  </w:style>
  <w:style w:type="character" w:customStyle="1" w:styleId="FooterChar">
    <w:name w:val="Footer Char"/>
    <w:basedOn w:val="DefaultParagraphFont"/>
    <w:link w:val="Footer"/>
    <w:uiPriority w:val="99"/>
    <w:rsid w:val="00736F9E"/>
  </w:style>
  <w:style w:type="character" w:styleId="Hyperlink">
    <w:name w:val="Hyperlink"/>
    <w:basedOn w:val="DefaultParagraphFont"/>
    <w:uiPriority w:val="99"/>
    <w:unhideWhenUsed/>
    <w:rsid w:val="00736F9E"/>
    <w:rPr>
      <w:color w:val="467886" w:themeColor="hyperlink"/>
      <w:u w:val="single"/>
    </w:rPr>
  </w:style>
  <w:style w:type="character" w:styleId="UnresolvedMention">
    <w:name w:val="Unresolved Mention"/>
    <w:basedOn w:val="DefaultParagraphFont"/>
    <w:uiPriority w:val="99"/>
    <w:semiHidden/>
    <w:unhideWhenUsed/>
    <w:rsid w:val="00736F9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16/j.foodcont.2015.05.005" TargetMode="External"/><Relationship Id="rId13" Type="http://schemas.openxmlformats.org/officeDocument/2006/relationships/hyperlink" Target="https://doi.org/10.1016/j.jss.2018.12.023" TargetMode="External"/><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doi.org/10.1287/trsc.2018.0873" TargetMode="External"/><Relationship Id="rId12" Type="http://schemas.openxmlformats.org/officeDocument/2006/relationships/hyperlink" Target="https://doi.org/10.1145/3092698" TargetMode="External"/><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footer" Target="footer1.xml"/><Relationship Id="rId1" Type="http://schemas.openxmlformats.org/officeDocument/2006/relationships/styles" Target="styles.xml"/><Relationship Id="rId6" Type="http://schemas.openxmlformats.org/officeDocument/2006/relationships/hyperlink" Target="https://doi.org/10.3390/fi14010011" TargetMode="External"/><Relationship Id="rId11" Type="http://schemas.openxmlformats.org/officeDocument/2006/relationships/hyperlink" Target="https://doi.org/10.1080/00207543.2018.1488086" TargetMode="External"/><Relationship Id="rId5" Type="http://schemas.openxmlformats.org/officeDocument/2006/relationships/endnotes" Target="endnotes.xml"/><Relationship Id="rId15" Type="http://schemas.openxmlformats.org/officeDocument/2006/relationships/hyperlink" Target="https://doi.org/10.1016/j.ijpe.2010.06.013" TargetMode="External"/><Relationship Id="rId10" Type="http://schemas.openxmlformats.org/officeDocument/2006/relationships/hyperlink" Target="https://doi.org/10.1080/00207543.2015.1030467" TargetMode="External"/><Relationship Id="rId4" Type="http://schemas.openxmlformats.org/officeDocument/2006/relationships/footnotes" Target="footnotes.xml"/><Relationship Id="rId9" Type="http://schemas.openxmlformats.org/officeDocument/2006/relationships/hyperlink" Target="https://doi.org/10.1108/ICS-01-2020-0009" TargetMode="External"/><Relationship Id="rId14" Type="http://schemas.openxmlformats.org/officeDocument/2006/relationships/hyperlink" Target="https://doi.org/10.1016/j.ijpe.2017.11.00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2746</Words>
  <Characters>15658</Characters>
  <Application>Microsoft Office Word</Application>
  <DocSecurity>0</DocSecurity>
  <Lines>130</Lines>
  <Paragraphs>36</Paragraphs>
  <ScaleCrop>false</ScaleCrop>
  <Company/>
  <LinksUpToDate>false</LinksUpToDate>
  <CharactersWithSpaces>18368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revision>1</cp:revision>
  <dcterms:created xsi:type="dcterms:W3CDTF">2026-10-11T14:59:00Z</dcterms:created>
  <dcterms:modified xsi:type="dcterms:W3CDTF">2026-10-11T15:00:00Z</dcterms:modified>
</cp:coreProperties>
</file>