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Arial Unicode MS" w:cs="Arial Unicode MS" w:hint="eastAsia"/>
          <w:b/>
          <w:color w:val="0B2545"/>
          <w:sz w:val="54"/>
          <w:lang w:val="en-US" w:eastAsia="zh-CN"/>
        </w:rPr>
        <w:t>GLYPH</w:t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232323"/>
          <w:sz w:val="40"/>
          <w:lang w:val="en-US" w:eastAsia="zh-CN"/>
        </w:rPr>
        <w:t>第一版视觉特征数据基础</w:t>
      </w:r>
    </w:p>
    <w:p>
      <w:pPr>
        <w:spacing w:after="320"/>
      </w:pPr>
      <w:r>
        <w:rPr>
          <w:rFonts w:ascii="Arial Unicode MS" w:hAnsi="Arial Unicode MS" w:eastAsia="Arial Unicode MS" w:cs="Arial Unicode MS" w:hint="eastAsia"/>
          <w:color w:val="555555"/>
          <w:sz w:val="24"/>
          <w:lang w:val="en-US" w:eastAsia="zh-CN"/>
        </w:rPr>
        <w:t>组会简报 · protocol visual_features_v1.2.0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仓库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/>
            <w:r>
              <w:rPr>
                <w:rFonts w:ascii="Calibri" w:hAnsi="Calibri" w:eastAsia="Arial Unicode MS" w:cs="Arial Unicode MS" w:hint="eastAsia"/>
                <w:b w:val="0"/>
                <w:color w:val="1E1E1E"/>
                <w:sz w:val="21"/>
                <w:lang w:val="en-US" w:eastAsia="zh-CN"/>
              </w:rPr>
              <w:t>https://github.com/Yonagi043/GLYPH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参考运行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/>
            <w:r>
              <w:rPr>
                <w:rFonts w:ascii="Calibri" w:hAnsi="Calibri" w:eastAsia="Arial Unicode MS" w:cs="Arial Unicode MS" w:hint="eastAsia"/>
                <w:b w:val="0"/>
                <w:color w:val="1E1E1E"/>
                <w:sz w:val="21"/>
                <w:lang w:val="en-US" w:eastAsia="zh-CN"/>
              </w:rPr>
              <w:t>render_551362ca0ff22f33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数据规模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1E1E1E"/>
                <w:sz w:val="21"/>
                <w:lang w:val="en-US" w:eastAsia="zh-CN"/>
              </w:rPr>
              <w:t>140 个刺激 · 280 条视觉特征记录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当前状态</w:t>
            </w:r>
          </w:p>
        </w:tc>
        <w:tc>
          <w:tcPr>
            <w:tcW w:type="dxa" w:w="7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1E1E1E"/>
                <w:sz w:val="21"/>
                <w:lang w:val="en-US" w:eastAsia="zh-CN"/>
              </w:rPr>
              <w:t>技术链完成；等待两名组员独立完成 fixture 审查</w:t>
            </w:r>
          </w:p>
        </w:tc>
      </w:tr>
    </w:tbl>
    <w:p/>
    <w:p>
      <w:pPr>
        <w:spacing w:before="80" w:after="160"/>
      </w:pPr>
      <w:r>
        <w:rPr>
          <w:rFonts w:ascii="Arial Unicode MS" w:hAnsi="Arial Unicode MS" w:eastAsia="Arial Unicode MS" w:cs="Arial Unicode MS" w:hint="eastAsia"/>
          <w:b/>
          <w:color w:val="2E74B5"/>
          <w:sz w:val="24"/>
          <w:lang w:val="en-US" w:eastAsia="zh-CN"/>
        </w:rPr>
        <w:t>一句话结论：</w:t>
      </w:r>
      <w:r>
        <w:rPr>
          <w:rFonts w:ascii="Arial Unicode MS" w:hAnsi="Arial Unicode MS" w:eastAsia="Arial Unicode MS" w:cs="Arial Unicode MS" w:hint="eastAsia"/>
          <w:color w:val="1E1E1E"/>
          <w:sz w:val="24"/>
          <w:lang w:val="en-US" w:eastAsia="zh-CN"/>
        </w:rPr>
        <w:t>我们已经把“字体审美”第一步收紧成一套可复现、可审查、可继续扩展的视觉测量基础；它不是审美真值，也没有替代真人实验。</w:t>
      </w:r>
    </w:p>
    <w:p>
      <w:pPr>
        <w:pStyle w:val="Heading1"/>
      </w:pPr>
      <w:r>
        <w:t>1. 我们现在拿到了什么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0B2545"/>
          </w:tcPr>
          <w:p>
            <w:pPr>
              <w:jc w:val="center"/>
            </w:pPr>
            <w:r/>
            <w:r>
              <w:rPr>
                <w:rFonts w:ascii="Calibri" w:hAnsi="Calibri" w:eastAsia="Arial Unicode MS" w:cs="Arial Unicode MS" w:hint="eastAsia"/>
                <w:b/>
                <w:color w:val="FFFFFF"/>
                <w:sz w:val="44"/>
                <w:lang w:val="en-US" w:eastAsia="zh-CN"/>
              </w:rPr>
              <w:t>140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0B2545"/>
          </w:tcPr>
          <w:p>
            <w:pPr>
              <w:jc w:val="center"/>
            </w:pPr>
            <w:r/>
            <w:r>
              <w:rPr>
                <w:rFonts w:ascii="Calibri" w:hAnsi="Calibri" w:eastAsia="Arial Unicode MS" w:cs="Arial Unicode MS" w:hint="eastAsia"/>
                <w:b/>
                <w:color w:val="FFFFFF"/>
                <w:sz w:val="44"/>
                <w:lang w:val="en-US" w:eastAsia="zh-CN"/>
              </w:rPr>
              <w:t>280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0B2545"/>
          </w:tcPr>
          <w:p>
            <w:pPr>
              <w:jc w:val="center"/>
            </w:pPr>
            <w:r/>
            <w:r>
              <w:rPr>
                <w:rFonts w:ascii="Calibri" w:hAnsi="Calibri" w:eastAsia="Arial Unicode MS" w:cs="Arial Unicode MS" w:hint="eastAsia"/>
                <w:b/>
                <w:color w:val="FFFFFF"/>
                <w:sz w:val="44"/>
                <w:lang w:val="en-US" w:eastAsia="zh-CN"/>
              </w:rPr>
              <w:t>7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0B2545"/>
          </w:tcPr>
          <w:p>
            <w:pPr>
              <w:jc w:val="center"/>
            </w:pPr>
            <w:r/>
            <w:r>
              <w:rPr>
                <w:rFonts w:ascii="Calibri" w:hAnsi="Calibri" w:eastAsia="Arial Unicode MS" w:cs="Arial Unicode MS" w:hint="eastAsia"/>
                <w:b/>
                <w:color w:val="FFFFFF"/>
                <w:sz w:val="44"/>
                <w:lang w:val="en-US" w:eastAsia="zh-CN"/>
              </w:rPr>
              <w:t>0</w:t>
            </w:r>
          </w:p>
        </w:tc>
      </w:tr>
      <w:tr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唯一刺激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特征记录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开放字体资产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主运行失败</w:t>
            </w:r>
          </w:p>
        </w:tc>
      </w:tr>
    </w:tbl>
    <w:p>
      <w:r>
        <w:t>数据和运行产物都带有 manifest、字体哈希、许可证状态、PNG/mask 哈希、QC 报告和 checksums；旧版本运行已移入 history，不与当前协议混用。</w:t>
      </w:r>
    </w:p>
    <w:p>
      <w:pPr>
        <w:pStyle w:val="Heading1"/>
      </w:pPr>
      <w:r>
        <w:t>2. 研究矩阵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3000"/>
        <w:gridCol w:w="2760"/>
        <w:gridCol w:w="1800"/>
      </w:tblGrid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0"/>
                <w:lang w:val="en-US" w:eastAsia="zh-CN"/>
              </w:rPr>
              <w:t>文字系统</w:t>
            </w:r>
          </w:p>
        </w:tc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0"/>
                <w:lang w:val="en-US" w:eastAsia="zh-CN"/>
              </w:rPr>
              <w:t>内容</w:t>
            </w:r>
          </w:p>
        </w:tc>
        <w:tc>
          <w:tcPr>
            <w:tcW w:type="dxa" w:w="2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0"/>
                <w:lang w:val="en-US" w:eastAsia="zh-CN"/>
              </w:rPr>
              <w:t>基线字体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0"/>
                <w:lang w:val="en-US" w:eastAsia="zh-CN"/>
              </w:rPr>
              <w:t>WP4 汉字范例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19"/>
                <w:lang w:val="en-US" w:eastAsia="zh-CN"/>
              </w:rPr>
              <w:t>Latn</w:t>
            </w:r>
          </w:p>
        </w:tc>
        <w:tc>
          <w:tcPr>
            <w:tcW w:type="dxa" w:w="30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19"/>
                <w:lang w:val="en-US" w:eastAsia="zh-CN"/>
              </w:rPr>
              <w:t>A E H M O R S T + 2 序列</w:t>
            </w:r>
          </w:p>
        </w:tc>
        <w:tc>
          <w:tcPr>
            <w:tcW w:type="dxa" w:w="276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19"/>
                <w:lang w:val="en-US" w:eastAsia="zh-CN"/>
              </w:rPr>
              <w:t>Noto Sans</w:t>
            </w:r>
          </w:p>
        </w:tc>
        <w:tc>
          <w:tcPr>
            <w:tcW w:type="dxa" w:w="18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19"/>
                <w:lang w:val="en-US" w:eastAsia="zh-CN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19"/>
                <w:lang w:val="en-US" w:eastAsia="zh-CN"/>
              </w:rPr>
              <w:t>Hani</w:t>
            </w:r>
          </w:p>
        </w:tc>
        <w:tc>
          <w:tcPr>
            <w:tcW w:type="dxa" w:w="30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19"/>
                <w:lang w:val="en-US" w:eastAsia="zh-CN"/>
              </w:rPr>
              <w:t>永 山 水 中 文 門 木 人 + 2 序列</w:t>
            </w:r>
          </w:p>
        </w:tc>
        <w:tc>
          <w:tcPr>
            <w:tcW w:type="dxa" w:w="276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19"/>
                <w:lang w:val="en-US" w:eastAsia="zh-CN"/>
              </w:rPr>
              <w:t>Noto Sans CJK SC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19"/>
                <w:lang w:val="en-US" w:eastAsia="zh-CN"/>
              </w:rPr>
              <w:t>Serif / Iansui / Marker Gothic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19"/>
                <w:lang w:val="en-US" w:eastAsia="zh-CN"/>
              </w:rPr>
              <w:t>Kana</w:t>
            </w:r>
          </w:p>
        </w:tc>
        <w:tc>
          <w:tcPr>
            <w:tcW w:type="dxa" w:w="30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19"/>
                <w:lang w:val="en-US" w:eastAsia="zh-CN"/>
              </w:rPr>
              <w:t>あ い す ね の ま る よ + 2 序列</w:t>
            </w:r>
          </w:p>
        </w:tc>
        <w:tc>
          <w:tcPr>
            <w:tcW w:type="dxa" w:w="276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19"/>
                <w:lang w:val="en-US" w:eastAsia="zh-CN"/>
              </w:rPr>
              <w:t>Noto Sans CJK JP</w:t>
            </w:r>
          </w:p>
        </w:tc>
        <w:tc>
          <w:tcPr>
            <w:tcW w:type="dxa" w:w="18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19"/>
                <w:lang w:val="en-US" w:eastAsia="zh-CN"/>
              </w:rPr>
              <w:t>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19"/>
                <w:lang w:val="en-US" w:eastAsia="zh-CN"/>
              </w:rPr>
              <w:t>Hang</w:t>
            </w:r>
          </w:p>
        </w:tc>
        <w:tc>
          <w:tcPr>
            <w:tcW w:type="dxa" w:w="30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19"/>
                <w:lang w:val="en-US" w:eastAsia="zh-CN"/>
              </w:rPr>
              <w:t>가 나 다 라 마 바 사 아 + 2 序列</w:t>
            </w:r>
          </w:p>
        </w:tc>
        <w:tc>
          <w:tcPr>
            <w:tcW w:type="dxa" w:w="276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19"/>
                <w:lang w:val="en-US" w:eastAsia="zh-CN"/>
              </w:rPr>
              <w:t>Noto Sans KR</w:t>
            </w:r>
          </w:p>
        </w:tc>
        <w:tc>
          <w:tcPr>
            <w:tcW w:type="dxa" w:w="18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19"/>
                <w:lang w:val="en-US" w:eastAsia="zh-CN"/>
              </w:rPr>
              <w:t>—</w:t>
            </w:r>
          </w:p>
        </w:tc>
      </w:tr>
    </w:tbl>
    <w:p>
      <w:r>
        <w:t>每个条件使用两个 profile：bbox_height_matched（320 px）和 ink_area_matched（0.050）；所有字体与内容均固定，不根据结果替换。</w:t>
      </w:r>
    </w:p>
    <w:p>
      <w:r>
        <w:br w:type="page"/>
      </w:r>
    </w:p>
    <w:p>
      <w:pPr>
        <w:pStyle w:val="Heading1"/>
      </w:pPr>
      <w:r>
        <w:t>3. 标准化管线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0B254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1"/>
                <w:lang w:val="en-US" w:eastAsia="zh-CN"/>
              </w:rPr>
              <w:t>阶段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0B254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1"/>
                <w:lang w:val="en-US" w:eastAsia="zh-CN"/>
              </w:rPr>
              <w:t>固定动作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1. 资产登记</w:t>
            </w:r>
          </w:p>
        </w:tc>
        <w:tc>
          <w:tcPr>
            <w:tcW w:type="dxa" w:w="746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1"/>
                <w:lang w:val="en-US" w:eastAsia="zh-CN"/>
              </w:rPr>
              <w:t>检查许可证、Unicode 覆盖、变量轴、彩色/位图表和 SHA-256。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2. 整形与渲染</w:t>
            </w:r>
          </w:p>
        </w:tc>
        <w:tc>
          <w:tcPr>
            <w:tcW w:type="dxa" w:w="746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1"/>
                <w:lang w:val="en-US" w:eastAsia="zh-CN"/>
              </w:rPr>
              <w:t>NFC + HarfBuzz cluster 校验；Pillow/FreeType BASIC 固定栅格化。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3. 归一化</w:t>
            </w:r>
          </w:p>
        </w:tc>
        <w:tc>
          <w:tcPr>
            <w:tcW w:type="dxa" w:w="746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1"/>
                <w:lang w:val="en-US" w:eastAsia="zh-CN"/>
              </w:rPr>
              <w:t>只做等比例缩放；固定画布、锚点、黑字白底和二值阈值 128。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4. 测量</w:t>
            </w:r>
          </w:p>
        </w:tc>
        <w:tc>
          <w:tcPr>
            <w:tcW w:type="dxa" w:w="746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1"/>
                <w:lang w:val="en-US" w:eastAsia="zh-CN"/>
              </w:rPr>
              <w:t>灰度和二值各一份；输出密度、比例、几何、笔势、排版、重心、节奏、统一度代理量。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5. QC 与发布</w:t>
            </w:r>
          </w:p>
        </w:tc>
        <w:tc>
          <w:tcPr>
            <w:tcW w:type="dxa" w:w="746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1"/>
                <w:lang w:val="en-US" w:eastAsia="zh-CN"/>
              </w:rPr>
              <w:t>重复哈希、敏感性、许可证和人工 fixture 审查；只有全部通过才能 release。</w:t>
            </w:r>
          </w:p>
        </w:tc>
      </w:tr>
    </w:tbl>
    <w:p>
      <w:pPr>
        <w:pStyle w:val="Heading1"/>
      </w:pPr>
      <w:r>
        <w:t>4. 真实样本：同一汉字的四种汉字字体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_yong_fon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 w:hint="eastAsia"/>
          <w:i/>
          <w:color w:val="555555"/>
          <w:sz w:val="18"/>
          <w:lang w:val="en-US" w:eastAsia="zh-CN"/>
        </w:rPr>
        <w:t>图：同一字符“永”在四个汉字字体范例中的规范化输出；图像来自当前参考运行。</w:t>
      </w:r>
    </w:p>
    <w:p>
      <w:r>
        <w:t>这一步得到的是可测的视觉差异：例如 ink coverage、bbox aspect ratio、对称性、闭合空间和骨架直/曲比例。它们是视觉代理量，不直接等于“更美”。</w:t>
      </w:r>
    </w:p>
    <w:p>
      <w:r>
        <w:br w:type="page"/>
      </w:r>
    </w:p>
    <w:p>
      <w:pPr>
        <w:pStyle w:val="Heading1"/>
      </w:pPr>
      <w:r>
        <w:t>5. 现在请组员做什么</w:t>
      </w:r>
    </w:p>
    <w:p>
      <w:r>
        <w:rPr>
          <w:rFonts w:ascii="Arial Unicode MS" w:hAnsi="Arial Unicode MS" w:eastAsia="Arial Unicode MS" w:cs="Arial Unicode MS" w:hint="eastAsia"/>
          <w:b/>
          <w:color w:val="0B2545"/>
          <w:sz w:val="24"/>
          <w:lang w:val="en-US" w:eastAsia="zh-CN"/>
        </w:rPr>
        <w:t>审查不是给字体打审美分，而是确认样本和协议没有明显的输入错误。</w:t>
      </w:r>
    </w:p>
    <w:p>
      <w:r>
        <w:t>请两名组员独立检查同一份 28 条 fixture 清单，并分别填写审查表。两人的记录不能先互相讨论后合并。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00"/>
        <w:gridCol w:w="3480"/>
        <w:gridCol w:w="3480"/>
      </w:tblGrid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检查项</w:t>
            </w:r>
          </w:p>
        </w:tc>
        <w:tc>
          <w:tcPr>
            <w:tcW w:type="dxa" w:w="34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要看什么</w:t>
            </w:r>
          </w:p>
        </w:tc>
        <w:tc>
          <w:tcPr>
            <w:tcW w:type="dxa" w:w="34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21"/>
                <w:lang w:val="en-US" w:eastAsia="zh-CN"/>
              </w:rPr>
              <w:t>填写位置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0"/>
                <w:lang w:val="en-US" w:eastAsia="zh-CN"/>
              </w:rPr>
              <w:t>刺激网格</w:t>
            </w:r>
          </w:p>
        </w:tc>
        <w:tc>
          <w:tcPr>
            <w:tcW w:type="dxa" w:w="348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0"/>
                <w:lang w:val="en-US" w:eastAsia="zh-CN"/>
              </w:rPr>
              <w:t>28 条 fixture 是否齐全、内容和 profile 是否对应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20"/>
                <w:lang w:val="en-US" w:eastAsia="zh-CN"/>
              </w:rPr>
              <w:t>visual_grid_pass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0"/>
                <w:lang w:val="en-US" w:eastAsia="zh-CN"/>
              </w:rPr>
              <w:t>字符边界</w:t>
            </w:r>
          </w:p>
        </w:tc>
        <w:tc>
          <w:tcPr>
            <w:tcW w:type="dxa" w:w="348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0"/>
                <w:lang w:val="en-US" w:eastAsia="zh-CN"/>
              </w:rPr>
              <w:t>字符顺序、边界和地区字形是否异常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20"/>
                <w:lang w:val="en-US" w:eastAsia="zh-CN"/>
              </w:rPr>
              <w:t>character_boundary_pass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0"/>
                <w:lang w:val="en-US" w:eastAsia="zh-CN"/>
              </w:rPr>
              <w:t>书体归类</w:t>
            </w:r>
          </w:p>
        </w:tc>
        <w:tc>
          <w:tcPr>
            <w:tcW w:type="dxa" w:w="3480"/>
          </w:tcPr>
          <w:p>
            <w:r/>
            <w:r>
              <w:rPr>
                <w:rFonts w:ascii="Arial Unicode MS" w:hAnsi="Arial Unicode MS" w:eastAsia="Arial Unicode MS" w:cs="Arial Unicode MS" w:hint="eastAsia"/>
                <w:color w:val="1E1E1E"/>
                <w:sz w:val="20"/>
                <w:lang w:val="en-US" w:eastAsia="zh-CN"/>
              </w:rPr>
              <w:t>字体角色/风格标签是否与图像一致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 w:eastAsia="Arial Unicode MS" w:cs="Arial Unicode MS" w:hint="eastAsia"/>
                <w:color w:val="1E1E1E"/>
                <w:sz w:val="20"/>
                <w:lang w:val="en-US" w:eastAsia="zh-CN"/>
              </w:rPr>
              <w:t>style_classification_pass</w:t>
            </w:r>
          </w:p>
        </w:tc>
      </w:tr>
    </w:tbl>
    <w:p>
      <w:pPr>
        <w:pStyle w:val="Heading1"/>
      </w:pPr>
      <w:r>
        <w:t>6. 审查完成后的动作</w:t>
      </w:r>
    </w:p>
    <w:p>
      <w:r>
        <w:t>审查表位于 data/processed/visual_features_v1/human_review/fixture_review_records.csv。两名审查者都对 28 条记录填满且全部通过后，运行以下命令生成公开 release：</w:t>
      </w:r>
    </w:p>
    <w:p>
      <w:pPr>
        <w:ind w:left="360"/>
      </w:pPr>
      <w:r>
        <w:rPr>
          <w:rFonts w:ascii="Courier New" w:hAnsi="Courier New" w:eastAsia="Arial Unicode MS" w:cs="Arial Unicode MS" w:hint="eastAsia"/>
          <w:color w:val="0B2545"/>
          <w:sz w:val="20"/>
          <w:lang w:val="en-US" w:eastAsia="zh-CN"/>
        </w:rPr>
        <w:t>uv run --locked --extra dev python -m glyph_features.cli release --run-id render_551362ca0ff22f33</w:t>
      </w:r>
    </w:p>
    <w:p>
      <w:pPr>
        <w:pStyle w:val="Heading1"/>
      </w:pPr>
      <w:r>
        <w:t>7. 边界与下一步</w:t>
      </w:r>
    </w:p>
    <w:p>
      <w:r>
        <w:t>当前成果可以支撑下一轮的真人可读性/审美实验、文化叙事证据采集和跨字体配对比较，但不能直接声称某种字体“更美”。下一轮应继续沿用 stimulus_id、schema、许可证分层和 run 哈希，不重新发明字段。</w:t>
      </w:r>
    </w:p>
    <w:p>
      <w:r>
        <w:rPr>
          <w:rFonts w:ascii="Arial Unicode MS" w:hAnsi="Arial Unicode MS" w:eastAsia="Arial Unicode MS" w:cs="Arial Unicode MS" w:hint="eastAsia"/>
          <w:b/>
          <w:color w:val="2E74B5"/>
          <w:sz w:val="24"/>
          <w:lang w:val="en-US" w:eastAsia="zh-CN"/>
        </w:rPr>
        <w:t>仓库地址：</w:t>
      </w:r>
      <w:r>
        <w:rPr>
          <w:rFonts w:ascii="Calibri" w:hAnsi="Calibri" w:eastAsia="Arial Unicode MS" w:cs="Arial Unicode MS" w:hint="eastAsia"/>
          <w:b/>
          <w:color w:val="0B2545"/>
          <w:sz w:val="24"/>
          <w:lang w:val="en-US" w:eastAsia="zh-CN"/>
        </w:rPr>
        <w:t>https://github.com/Yonagi043/GLYPH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Arial Unicode MS" w:cs="Arial Unicode MS" w:hint="eastAsia"/>
        <w:color w:val="555555"/>
        <w:sz w:val="17"/>
        <w:lang w:val="en-US" w:eastAsia="zh-CN"/>
      </w:rPr>
      <w:t>Internal group meeting brief  |  2026-08-30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Arial Unicode MS" w:cs="Arial Unicode MS" w:hint="eastAsia"/>
        <w:b/>
        <w:color w:val="555555"/>
        <w:sz w:val="17"/>
        <w:lang w:val="en-US" w:eastAsia="zh-CN"/>
      </w:rPr>
      <w:t>GLYPH  |  VISUAL FEATURES V1.2.0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