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业务功能响应异常检测算法文档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一、设计原理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业务功能响应可能会发生如下异常：response响应时间超时、response的返回协议大小异常。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考虑到同一个业务功能页面的响应内容大多会相似，故此处不考虑检测每一个业务功能的响应内容异常检测。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二、数据源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）训练数据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训练样本生成</w:t>
      </w:r>
      <w:r>
        <w:rPr>
          <w:rFonts w:hint="eastAsia"/>
          <w:lang w:val="en-US" w:eastAsia="zh-CN"/>
        </w:rPr>
        <w:t>/采集方式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获取hdfs上的业务系统最近一个星期的https记录，以此作为训练样本。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数据源地址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Hdfs：10.130.10.62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路径：hdfs://10.130.10.62:9000/usr/hadoop/nta/http/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数据源格式</w:t>
      </w:r>
    </w:p>
    <w:tbl>
      <w:tblPr>
        <w:tblStyle w:val="11"/>
        <w:tblW w:w="56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flow_id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srcip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dstip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protocol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request_date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response_date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request_urL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request_uri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请求uri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）检测数据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检测数据生成</w:t>
      </w:r>
      <w:r>
        <w:rPr>
          <w:rFonts w:hint="eastAsia"/>
          <w:lang w:val="en-US" w:eastAsia="zh-CN"/>
        </w:rPr>
        <w:t>/采集方式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获取hdfs上的业务系统最近一小时的https记录，以此作为检测数据。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数据源地址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Hdfs：10.130.10.62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路径：hdfs://10.130.10.62:9000/usr/hadoop/nta/http/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数据源格式</w:t>
      </w:r>
    </w:p>
    <w:tbl>
      <w:tblPr>
        <w:tblStyle w:val="11"/>
        <w:tblW w:w="56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flow_id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srcip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dstip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protocol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request_date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response_date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request_urL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request_uri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请求uri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三、特征处理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1）业务功能定义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业务功能指业务系统中带有提交参数的子功能或URL。对于常见的URL，一般语法格式为(带方括号[]的为可选项)：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:// hostname[:port] / path / [;parameters][?query]#fragment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我们将其写成以下格式：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protocol://host:path?key1=value1&amp;key2=value2...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定义方法一：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ttp/https有get和post两种请求方式。对于get型请求，我们直接获取URL来处理；对于post型请求，请求参数分为两种：url上的参数和表单上的参数。我们将url上的参数和表单的参数拼接一起，作为总体参数，即构造出了带有完整参数的URL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这里我们定义的业务功能有以下三点的要求：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①相同host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②相同path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③在三个不同IP都访问了这个host+path的前提下，存在共同使用的key（可选）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对于满足以上三点的url，构造“host+path+共同使用的key”以此作为业务功能。具体例子如下：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IP1-URL1:https://113.108.195.66:28080/WorkFlowArea/WorkFlowRun/Index?action=add&amp;format=normal&amp;display=1&amp;username=232445467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IP2-URL2:https://113.108.195.66:28080/WorkFlowArea/WorkFlowRun/Index?action=add&amp;format=normal&amp;username=231145467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IP3-URL3:https://113.108.195.66:28080/WorkFlowArea/WorkFlowRun/Index?action=add&amp;username=23221467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IP4-URL4:https://113.108.195.66:28080/WorkFlowArea/WorkFlowRun/Index?action=del&amp;username=23221207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那么最终定下来的业务功能是：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113.108.195.66:28080/WorkFlowArea/WorkFlowRun/Index?action=add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定义方法二：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客户配置。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2）请求参数的定义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①GET型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对于GET型请求，url上的参数就是其请求参数。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请求网址例子：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113.108.195.66:28080/WorkFlowArea/WorkFlowRun/Index?flowid=7885774a-b16e-4073-9532-b3295ce8169f&amp;stepid=624480e4-da39-460a-86cf-a134f33f68ab&amp;instanceid=8b78638d-2f8f-431e-a936-b5015ff9fffd&amp;taskid=6ef99934-925c-40fc-9105-37404412d8b8&amp;groupid=51955654-e37b-4eef-b612-f09e647c059b&amp;display=1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②POST型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对于POST型请求，需要结合url中的参数和表单数据，以此作为完整请求参数。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请求网址例子：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"https://ssl.captcha.qq.com/cap_union_new_verify?random=1521622298522"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https://ssl.captcha.qq.com/cap_union_new_verify?random=1521622298522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683260"/>
            <wp:effectExtent l="0" t="0" r="889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四、算法模型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）算法名称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（2）算法详情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五、训练过程</w:t>
      </w:r>
      <w:r>
        <w:rPr>
          <w:rFonts w:hint="eastAsia"/>
          <w:lang w:val="en-US" w:eastAsia="zh-CN"/>
        </w:rPr>
        <w:t>详情步骤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（1）训练周期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一周训练一次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（2）训练步骤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注意：此处使用到《业务功能参数异常检测算法文档》中的基线结果数据中的业务功能uri字段。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①响应时间基线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Step1：识别出业务功能后，筛选出对应的http协议记录。该记录已经关联了query对应的response信息；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Step2：选出request_date和response_date，计算两者之差，作为该业务功能的响应时间，得到一个响应时间的list；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Step3：计算响应时间list的mean值、var值，mean+3var作为响应时间基线。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②响应报文大小基线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Step1：识别出业务功能后，筛选出对应的http协议记录。该记录已经关联了query对应的response信息；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Step2：选出content_length，此作为响应http报文的大小。每一个业务功能将得到一个报文大小的list；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Step3：计算响应报文大小list的mean值、var值，mean+3var作为响应报文大小基线。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③将基线结果存储到postgrel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六、检测过程</w:t>
      </w:r>
      <w:r>
        <w:rPr>
          <w:rFonts w:hint="eastAsia"/>
          <w:lang w:val="en-US" w:eastAsia="zh-CN"/>
        </w:rPr>
        <w:t>详情步骤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（1）检测周期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一小时检测一次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（2）检测步骤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注意：需要训练好基线后，才能运行检测部分的代码。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响应时间检测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Step1：当新的业务功能数据产生，过滤出对应的response记录；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Step2：选出request_date和response_date，计算两者之差，作为该业务功能的响应时间；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Step3：判断新的响应时间是否在基线时间的mean+3va内，若不在，则进行响应时间异常告警。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响应报文大小检测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Step1：当新的业务功能数据产生，过滤出对应的response记录；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Step2：选出content_length，此作为响应http报文的大小；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Step3：判断新的响应报文大小是否在基线的mean+3va内，若不在，则进行响应报文大小异常告警。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保存结果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七、输出结果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）模型保存位置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基线结果保存到Postgrel，表结构为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tbl>
      <w:tblPr>
        <w:tblStyle w:val="11"/>
        <w:tblW w:w="5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app_utility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业务功能（没用到此字段）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app_uri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业务功能中的uri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app_param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业务功能中的参数（没用到此字段）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param_name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除业务功能外的参数名称（没用到此字段）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param_length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参数长度范围（没用到此字段）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param_type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response_baseline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响应基线值（3σ）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response_type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响应基线类型（size表示响应报文大小基线，time表示响应时间基线）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result_type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结果类型（0表示参数检测结果，1表示响应结果）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）检测结果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保存方式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保存到</w:t>
      </w:r>
      <w:r>
        <w:rPr>
          <w:rFonts w:hint="eastAsia"/>
          <w:lang w:val="en-US" w:eastAsia="zh-CN"/>
        </w:rPr>
        <w:t>POSTGRESQL或HDFS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保存位置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POSTGRESQL：10.130.10.22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结果格式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11"/>
        <w:tblW w:w="76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5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5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flow_id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srcip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dstip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protocol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request_date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response_date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request_ur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app_utlity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</w:rPr>
              <w:t>_uri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app_</w:t>
            </w:r>
            <w:r>
              <w:rPr>
                <w:rFonts w:hint="eastAsia"/>
              </w:rPr>
              <w:t>para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参数字符（没用到此字段）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extra_</w:t>
            </w:r>
            <w:r>
              <w:rPr>
                <w:rFonts w:hint="eastAsia"/>
                <w:lang w:val="en-US" w:eastAsia="zh-CN"/>
              </w:rPr>
              <w:t>app_</w:t>
            </w:r>
            <w:r>
              <w:rPr>
                <w:rFonts w:hint="eastAsia"/>
              </w:rPr>
              <w:t>para_</w:t>
            </w:r>
            <w:r>
              <w:rPr>
                <w:rFonts w:hint="eastAsia"/>
                <w:lang w:val="en-US" w:eastAsia="zh-CN"/>
              </w:rPr>
              <w:t>baseline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参数的基线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（key1=value1&amp;len_min-len_max&amp;char#key2=value2&amp;len_min-len_max&amp;char）（没用到此字段）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parameter_detect_result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参数检测结果（异常长度、异常类型）（没用到此字段）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baseline_time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baseline_size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响应报文大小基线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detect_time_result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detect_size_result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响应报文大小检测结果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result_type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结果类型（0为参数检测结果，1为响应检测结果）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结果示例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270500" cy="1245235"/>
            <wp:effectExtent l="0" t="0" r="6350" b="12065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模型评估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53D65"/>
    <w:multiLevelType w:val="singleLevel"/>
    <w:tmpl w:val="DEC53D65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93457"/>
    <w:rsid w:val="00AE4C92"/>
    <w:rsid w:val="143B3DD3"/>
    <w:rsid w:val="1A7755C3"/>
    <w:rsid w:val="1F1F565C"/>
    <w:rsid w:val="23DD6254"/>
    <w:rsid w:val="2C74367A"/>
    <w:rsid w:val="2E7A0CBB"/>
    <w:rsid w:val="38140958"/>
    <w:rsid w:val="3846718F"/>
    <w:rsid w:val="3BAA2C49"/>
    <w:rsid w:val="3DB93457"/>
    <w:rsid w:val="40C63BD4"/>
    <w:rsid w:val="461C510D"/>
    <w:rsid w:val="46796E87"/>
    <w:rsid w:val="477D0182"/>
    <w:rsid w:val="48C15B62"/>
    <w:rsid w:val="49940F64"/>
    <w:rsid w:val="54F847D4"/>
    <w:rsid w:val="57C90850"/>
    <w:rsid w:val="58EF35A2"/>
    <w:rsid w:val="66407EE6"/>
    <w:rsid w:val="6D535020"/>
    <w:rsid w:val="701E72F0"/>
    <w:rsid w:val="77065BEA"/>
    <w:rsid w:val="7C28259F"/>
    <w:rsid w:val="7DB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2018-08-07T01:13:00Z</dcterms:created>
  <dc:creator>Administrator</dc:creator>
  <cp:lastModifiedBy>Administrator</cp:lastModifiedBy>
  <dcterms:modified xsi:type="dcterms:W3CDTF">2018-08-10T08:57:01Z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