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A1955" w14:textId="49AF4D77" w:rsidR="00801FE1" w:rsidRPr="00E047B6" w:rsidRDefault="009A16EB">
      <w:pPr>
        <w:rPr>
          <w:b/>
          <w:bCs/>
        </w:rPr>
      </w:pPr>
      <w:r w:rsidRPr="00E047B6">
        <w:rPr>
          <w:b/>
          <w:bCs/>
        </w:rPr>
        <w:t>Operational definition</w:t>
      </w:r>
    </w:p>
    <w:tbl>
      <w:tblPr>
        <w:tblStyle w:val="TableGrid"/>
        <w:tblW w:w="0" w:type="auto"/>
        <w:tblLook w:val="04A0" w:firstRow="1" w:lastRow="0" w:firstColumn="1" w:lastColumn="0" w:noHBand="0" w:noVBand="1"/>
      </w:tblPr>
      <w:tblGrid>
        <w:gridCol w:w="3539"/>
        <w:gridCol w:w="5477"/>
      </w:tblGrid>
      <w:tr w:rsidR="00801FE1" w14:paraId="2360AB51" w14:textId="77777777" w:rsidTr="002D7375">
        <w:tc>
          <w:tcPr>
            <w:tcW w:w="3539" w:type="dxa"/>
          </w:tcPr>
          <w:p w14:paraId="536F7562" w14:textId="69968C5B" w:rsidR="00801FE1" w:rsidRPr="00332F0E" w:rsidRDefault="00FA77E3">
            <w:pPr>
              <w:rPr>
                <w:b/>
                <w:bCs/>
              </w:rPr>
            </w:pPr>
            <w:r w:rsidRPr="00332F0E">
              <w:rPr>
                <w:b/>
                <w:bCs/>
              </w:rPr>
              <w:t>Domai</w:t>
            </w:r>
            <w:r w:rsidR="00332F0E" w:rsidRPr="00332F0E">
              <w:rPr>
                <w:b/>
                <w:bCs/>
              </w:rPr>
              <w:t>n</w:t>
            </w:r>
          </w:p>
        </w:tc>
        <w:tc>
          <w:tcPr>
            <w:tcW w:w="5477" w:type="dxa"/>
          </w:tcPr>
          <w:p w14:paraId="75F71800" w14:textId="6ABCD059" w:rsidR="00801FE1" w:rsidRPr="00332F0E" w:rsidRDefault="002D7375">
            <w:pPr>
              <w:rPr>
                <w:b/>
                <w:bCs/>
              </w:rPr>
            </w:pPr>
            <w:r w:rsidRPr="00332F0E">
              <w:rPr>
                <w:b/>
                <w:bCs/>
              </w:rPr>
              <w:t>Description</w:t>
            </w:r>
          </w:p>
        </w:tc>
      </w:tr>
      <w:tr w:rsidR="00801FE1" w14:paraId="6F686DBC" w14:textId="77777777" w:rsidTr="002D7375">
        <w:tc>
          <w:tcPr>
            <w:tcW w:w="3539" w:type="dxa"/>
          </w:tcPr>
          <w:p w14:paraId="7C2339E2" w14:textId="21E3ABEB" w:rsidR="00801FE1" w:rsidRDefault="00363840">
            <w:r>
              <w:t xml:space="preserve">Subgroup analysis on </w:t>
            </w:r>
            <w:r w:rsidRPr="00363840">
              <w:t xml:space="preserve">components of the QoL domain </w:t>
            </w:r>
          </w:p>
        </w:tc>
        <w:tc>
          <w:tcPr>
            <w:tcW w:w="5477" w:type="dxa"/>
          </w:tcPr>
          <w:p w14:paraId="6E70909B" w14:textId="2EFF75D7" w:rsidR="00801FE1" w:rsidRPr="007D2474" w:rsidRDefault="00A257EF" w:rsidP="003E3938">
            <w:pPr>
              <w:jc w:val="both"/>
              <w:rPr>
                <w:rFonts w:ascii="Calibri" w:hAnsi="Calibri" w:cs="Calibri"/>
              </w:rPr>
            </w:pPr>
            <w:r w:rsidRPr="00A257EF">
              <w:rPr>
                <w:rFonts w:ascii="Calibri" w:hAnsi="Calibri" w:cs="Calibri"/>
              </w:rPr>
              <w:t>We conducted a subgroup analysis based on quality-of-life dimensions. Most studies assessed quality of life using dimensions such as physical functioning, bodily pain, role emotional, social functioning, vitality, mental health, and role physical. Our aim was to examine differences in effect sizes between individuals who experienced delirium and those who did not for each dimension, providing detailed information on the outcomes.</w:t>
            </w:r>
          </w:p>
        </w:tc>
      </w:tr>
      <w:tr w:rsidR="00801FE1" w14:paraId="7938440E" w14:textId="77777777" w:rsidTr="002D7375">
        <w:tc>
          <w:tcPr>
            <w:tcW w:w="3539" w:type="dxa"/>
          </w:tcPr>
          <w:p w14:paraId="1446C700" w14:textId="6F30B734" w:rsidR="00801FE1" w:rsidRDefault="0045054E">
            <w:r>
              <w:t xml:space="preserve">Subgroup analysis on </w:t>
            </w:r>
            <w:r w:rsidRPr="0045054E">
              <w:t>specific psychiatric syndromes</w:t>
            </w:r>
          </w:p>
        </w:tc>
        <w:tc>
          <w:tcPr>
            <w:tcW w:w="5477" w:type="dxa"/>
          </w:tcPr>
          <w:p w14:paraId="7A4D0EA8" w14:textId="5B7283D4" w:rsidR="00801FE1" w:rsidRDefault="00C94AD5" w:rsidP="003E3938">
            <w:pPr>
              <w:jc w:val="both"/>
            </w:pPr>
            <w:r w:rsidRPr="00C94AD5">
              <w:t xml:space="preserve">Similarly, we </w:t>
            </w:r>
            <w:r w:rsidRPr="00C94AD5">
              <w:t>analysed</w:t>
            </w:r>
            <w:r w:rsidRPr="00C94AD5">
              <w:t xml:space="preserve"> each psychiatric syndrome (sleep disturbance, depression, anxiety, and PTSD) to investigate differences in effect sizes between those who experienced delirium and those who did not, ensuring a comprehensive understanding of the outcomes.</w:t>
            </w:r>
          </w:p>
        </w:tc>
      </w:tr>
      <w:tr w:rsidR="00801FE1" w14:paraId="641891BA" w14:textId="77777777" w:rsidTr="002D7375">
        <w:tc>
          <w:tcPr>
            <w:tcW w:w="3539" w:type="dxa"/>
          </w:tcPr>
          <w:p w14:paraId="7E97C531" w14:textId="5C6C4841" w:rsidR="00801FE1" w:rsidRDefault="0045054E">
            <w:r w:rsidRPr="0045054E">
              <w:t xml:space="preserve">Sensitivity analyses </w:t>
            </w:r>
            <w:r>
              <w:t xml:space="preserve">on </w:t>
            </w:r>
            <w:r w:rsidRPr="0045054E">
              <w:t>adjusting models for covariates</w:t>
            </w:r>
          </w:p>
        </w:tc>
        <w:tc>
          <w:tcPr>
            <w:tcW w:w="5477" w:type="dxa"/>
          </w:tcPr>
          <w:p w14:paraId="1F74EF99" w14:textId="758F272B" w:rsidR="00801FE1" w:rsidRDefault="00E726C0" w:rsidP="003E3938">
            <w:pPr>
              <w:jc w:val="both"/>
            </w:pPr>
            <w:r w:rsidRPr="00E726C0">
              <w:t xml:space="preserve">We also conducted a sensitivity analysis based on whether studies controlled for potential confounders. Our main analysis combined effect sizes that were both adjusted and unadjusted for confounders, though we prioritized adjusted data when available. If a study did not report adjusted data, we included unadjusted data instead. To assess the robustness of our findings, we performed a sensitivity analysis by separately </w:t>
            </w:r>
            <w:r w:rsidRPr="00E726C0">
              <w:t>analysing</w:t>
            </w:r>
            <w:r w:rsidRPr="00E726C0">
              <w:t xml:space="preserve"> adjusted and unadjusted data.</w:t>
            </w:r>
          </w:p>
        </w:tc>
      </w:tr>
      <w:tr w:rsidR="00801FE1" w14:paraId="5BBC4830" w14:textId="77777777" w:rsidTr="002D7375">
        <w:tc>
          <w:tcPr>
            <w:tcW w:w="3539" w:type="dxa"/>
          </w:tcPr>
          <w:p w14:paraId="1D9B81E9" w14:textId="7F3ADA4E" w:rsidR="00801FE1" w:rsidRDefault="0062223F">
            <w:r>
              <w:t xml:space="preserve">Sensitivity analysis on </w:t>
            </w:r>
            <w:r w:rsidRPr="0062223F">
              <w:t>using baseline sample sizes in studies that did not report follow-up sample sizes</w:t>
            </w:r>
          </w:p>
        </w:tc>
        <w:tc>
          <w:tcPr>
            <w:tcW w:w="5477" w:type="dxa"/>
          </w:tcPr>
          <w:p w14:paraId="71D38C5A" w14:textId="14028408" w:rsidR="00C72EB7" w:rsidRDefault="005D56B3" w:rsidP="003E3938">
            <w:pPr>
              <w:jc w:val="both"/>
            </w:pPr>
            <w:r w:rsidRPr="005D56B3">
              <w:t>Additionally, we used follow-up sample sizes to calculate effect estimates whenever they were reported. However, if a study did not provide separate follow-up sample sizes for the delirium and no-delirium groups, we used baseline sample sizes instead. This may have influenced the results, so we conducted a sensitivity analysis comparing studies that reported only follow-up sample sizes with those that mixed follow-up and baseline sample sizes. The main analysis included both follow-up and baseline sample sizes combined.</w:t>
            </w:r>
          </w:p>
        </w:tc>
      </w:tr>
      <w:tr w:rsidR="00801FE1" w14:paraId="7466CADF" w14:textId="77777777" w:rsidTr="002D7375">
        <w:tc>
          <w:tcPr>
            <w:tcW w:w="3539" w:type="dxa"/>
          </w:tcPr>
          <w:p w14:paraId="612A3E11" w14:textId="1BDDCD57" w:rsidR="00801FE1" w:rsidRDefault="00866E29">
            <w:r w:rsidRPr="00866E29">
              <w:t xml:space="preserve">Sensitivity analyses with and without frailty, fatigue, and/or falls </w:t>
            </w:r>
          </w:p>
        </w:tc>
        <w:tc>
          <w:tcPr>
            <w:tcW w:w="5477" w:type="dxa"/>
          </w:tcPr>
          <w:p w14:paraId="2C9BE9D8" w14:textId="6DC3E107" w:rsidR="00801FE1" w:rsidRDefault="003E3938" w:rsidP="003E3938">
            <w:pPr>
              <w:jc w:val="both"/>
            </w:pPr>
            <w:r w:rsidRPr="003E3938">
              <w:t>In our study, we considered frailty, fatigue, and/or falls as functional outcomes. The main analysis included these outcomes along with other functional measures such as ADL and IADL. While frailty, fatigue, and falls share some similarities with functional outcomes, they represent distinct conditions. To determine the robustness of our main findings, we conducted a sensitivity analysis with and without these outcomes.</w:t>
            </w:r>
          </w:p>
        </w:tc>
      </w:tr>
    </w:tbl>
    <w:p w14:paraId="45480511" w14:textId="77777777" w:rsidR="00801FE1" w:rsidRDefault="00801FE1"/>
    <w:p w14:paraId="61763754" w14:textId="3B31CE63" w:rsidR="009C6264" w:rsidRPr="003E3938" w:rsidRDefault="001D4C8E">
      <w:pPr>
        <w:rPr>
          <w:b/>
          <w:bCs/>
        </w:rPr>
      </w:pPr>
      <w:r w:rsidRPr="003E3938">
        <w:rPr>
          <w:b/>
          <w:bCs/>
        </w:rPr>
        <w:t>Table 1.</w:t>
      </w:r>
      <w:r w:rsidR="00866E29" w:rsidRPr="003E3938">
        <w:rPr>
          <w:b/>
          <w:bCs/>
        </w:rPr>
        <w:t xml:space="preserve"> </w:t>
      </w:r>
      <w:r w:rsidR="00DD34CE" w:rsidRPr="003E3938">
        <w:rPr>
          <w:b/>
          <w:bCs/>
        </w:rPr>
        <w:t>C</w:t>
      </w:r>
      <w:r w:rsidR="00412A69" w:rsidRPr="003E3938">
        <w:rPr>
          <w:b/>
          <w:bCs/>
        </w:rPr>
        <w:t xml:space="preserve">ognition and functional outcomes </w:t>
      </w:r>
      <w:r w:rsidR="00B05D7F" w:rsidRPr="003E3938">
        <w:rPr>
          <w:b/>
          <w:bCs/>
        </w:rPr>
        <w:t xml:space="preserve">data types and operationalisation </w:t>
      </w:r>
    </w:p>
    <w:tbl>
      <w:tblPr>
        <w:tblStyle w:val="TableGrid"/>
        <w:tblW w:w="0" w:type="auto"/>
        <w:tblLook w:val="04A0" w:firstRow="1" w:lastRow="0" w:firstColumn="1" w:lastColumn="0" w:noHBand="0" w:noVBand="1"/>
      </w:tblPr>
      <w:tblGrid>
        <w:gridCol w:w="2232"/>
        <w:gridCol w:w="1732"/>
        <w:gridCol w:w="2835"/>
        <w:gridCol w:w="2217"/>
      </w:tblGrid>
      <w:tr w:rsidR="00347FBF" w14:paraId="684D95AA" w14:textId="77777777" w:rsidTr="004A1EFF">
        <w:tc>
          <w:tcPr>
            <w:tcW w:w="2232" w:type="dxa"/>
            <w:vMerge w:val="restart"/>
          </w:tcPr>
          <w:p w14:paraId="0B1E0E57" w14:textId="75FA5D6F" w:rsidR="00347FBF" w:rsidRDefault="00347FBF">
            <w:r>
              <w:t>Outcome</w:t>
            </w:r>
          </w:p>
        </w:tc>
        <w:tc>
          <w:tcPr>
            <w:tcW w:w="1732" w:type="dxa"/>
            <w:vMerge w:val="restart"/>
          </w:tcPr>
          <w:p w14:paraId="1B18D9FA" w14:textId="1BCCC32C" w:rsidR="00347FBF" w:rsidRDefault="00347FBF">
            <w:r>
              <w:t>Study design</w:t>
            </w:r>
          </w:p>
        </w:tc>
        <w:tc>
          <w:tcPr>
            <w:tcW w:w="5052" w:type="dxa"/>
            <w:gridSpan w:val="2"/>
          </w:tcPr>
          <w:p w14:paraId="7721D74D" w14:textId="05243B0F" w:rsidR="00347FBF" w:rsidRDefault="00347FBF">
            <w:r>
              <w:t>Data type</w:t>
            </w:r>
          </w:p>
        </w:tc>
      </w:tr>
      <w:tr w:rsidR="00347FBF" w14:paraId="1970E06C" w14:textId="77777777" w:rsidTr="00D831FE">
        <w:tc>
          <w:tcPr>
            <w:tcW w:w="2232" w:type="dxa"/>
            <w:vMerge/>
          </w:tcPr>
          <w:p w14:paraId="03737BCB" w14:textId="77777777" w:rsidR="00347FBF" w:rsidRDefault="00347FBF"/>
        </w:tc>
        <w:tc>
          <w:tcPr>
            <w:tcW w:w="1732" w:type="dxa"/>
            <w:vMerge/>
          </w:tcPr>
          <w:p w14:paraId="0060D6D8" w14:textId="77777777" w:rsidR="00347FBF" w:rsidRDefault="00347FBF"/>
        </w:tc>
        <w:tc>
          <w:tcPr>
            <w:tcW w:w="2835" w:type="dxa"/>
          </w:tcPr>
          <w:p w14:paraId="1E1EC382" w14:textId="5124157D" w:rsidR="00347FBF" w:rsidRDefault="00347FBF">
            <w:r>
              <w:t>Categorical/dichotomous</w:t>
            </w:r>
          </w:p>
        </w:tc>
        <w:tc>
          <w:tcPr>
            <w:tcW w:w="2217" w:type="dxa"/>
          </w:tcPr>
          <w:p w14:paraId="1D3F1E0F" w14:textId="0B25110D" w:rsidR="00347FBF" w:rsidRDefault="00347FBF">
            <w:r>
              <w:t>Continuous</w:t>
            </w:r>
          </w:p>
        </w:tc>
      </w:tr>
      <w:tr w:rsidR="00B77CD4" w14:paraId="302AF70F" w14:textId="77777777" w:rsidTr="00D831FE">
        <w:tc>
          <w:tcPr>
            <w:tcW w:w="2232" w:type="dxa"/>
          </w:tcPr>
          <w:p w14:paraId="1A5E40D7" w14:textId="51584C3C" w:rsidR="009C6264" w:rsidRDefault="00B77CD4">
            <w:r>
              <w:lastRenderedPageBreak/>
              <w:t>Cognitive/functional change</w:t>
            </w:r>
          </w:p>
        </w:tc>
        <w:tc>
          <w:tcPr>
            <w:tcW w:w="1732" w:type="dxa"/>
          </w:tcPr>
          <w:p w14:paraId="2CEA3506" w14:textId="10ACE467" w:rsidR="009C6264" w:rsidRDefault="00B77CD4">
            <w:r>
              <w:t>Longitudinal</w:t>
            </w:r>
          </w:p>
        </w:tc>
        <w:tc>
          <w:tcPr>
            <w:tcW w:w="2835" w:type="dxa"/>
          </w:tcPr>
          <w:p w14:paraId="3000F482" w14:textId="0FE0DC20" w:rsidR="009C6264" w:rsidRDefault="00705BFF">
            <w:r>
              <w:t>Decline vs no decline from the baseline</w:t>
            </w:r>
          </w:p>
        </w:tc>
        <w:tc>
          <w:tcPr>
            <w:tcW w:w="2217" w:type="dxa"/>
          </w:tcPr>
          <w:p w14:paraId="2FB0E416" w14:textId="454DAD63" w:rsidR="009C6264" w:rsidRDefault="00D831FE">
            <w:r>
              <w:t>Change from the baseline to the follow-up</w:t>
            </w:r>
            <w:r w:rsidR="00A377EF">
              <w:t xml:space="preserve"> timepoint</w:t>
            </w:r>
          </w:p>
        </w:tc>
      </w:tr>
      <w:tr w:rsidR="00B77CD4" w14:paraId="68BF8727" w14:textId="77777777" w:rsidTr="00D831FE">
        <w:tc>
          <w:tcPr>
            <w:tcW w:w="2232" w:type="dxa"/>
          </w:tcPr>
          <w:p w14:paraId="09801F67" w14:textId="7F06F442" w:rsidR="00B77CD4" w:rsidRDefault="00B77CD4">
            <w:r>
              <w:t>Cognitive/functional performance</w:t>
            </w:r>
          </w:p>
        </w:tc>
        <w:tc>
          <w:tcPr>
            <w:tcW w:w="1732" w:type="dxa"/>
          </w:tcPr>
          <w:p w14:paraId="13416825" w14:textId="78DECC99" w:rsidR="00B77CD4" w:rsidRDefault="00B77CD4">
            <w:r>
              <w:t>Cross-sectional</w:t>
            </w:r>
          </w:p>
        </w:tc>
        <w:tc>
          <w:tcPr>
            <w:tcW w:w="2835" w:type="dxa"/>
          </w:tcPr>
          <w:p w14:paraId="4F450FFC" w14:textId="6FFCD735" w:rsidR="00B77CD4" w:rsidRDefault="00DB1BB2">
            <w:r>
              <w:t>Impairment vs no impairment</w:t>
            </w:r>
            <w:r w:rsidR="00F77A0F">
              <w:t xml:space="preserve"> </w:t>
            </w:r>
            <w:r w:rsidR="00AE753B">
              <w:t>below a threshold at follow-up time</w:t>
            </w:r>
          </w:p>
        </w:tc>
        <w:tc>
          <w:tcPr>
            <w:tcW w:w="2217" w:type="dxa"/>
          </w:tcPr>
          <w:p w14:paraId="27830765" w14:textId="44DAFF77" w:rsidR="00B77CD4" w:rsidRDefault="00D831FE">
            <w:r>
              <w:t>Scores at follow-up</w:t>
            </w:r>
            <w:r w:rsidR="00A377EF">
              <w:t xml:space="preserve"> timepoint</w:t>
            </w:r>
          </w:p>
        </w:tc>
      </w:tr>
    </w:tbl>
    <w:p w14:paraId="7F99A19A" w14:textId="0001D5DD" w:rsidR="001D4C8E" w:rsidRDefault="001D4C8E"/>
    <w:sectPr w:rsidR="001D4C8E">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07A7B" w14:textId="77777777" w:rsidR="008A68D9" w:rsidRDefault="008A68D9" w:rsidP="008A68D9">
      <w:pPr>
        <w:spacing w:after="0" w:line="240" w:lineRule="auto"/>
      </w:pPr>
      <w:r>
        <w:separator/>
      </w:r>
    </w:p>
  </w:endnote>
  <w:endnote w:type="continuationSeparator" w:id="0">
    <w:p w14:paraId="09069CA0" w14:textId="77777777" w:rsidR="008A68D9" w:rsidRDefault="008A68D9" w:rsidP="008A68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9495207"/>
      <w:docPartObj>
        <w:docPartGallery w:val="Page Numbers (Bottom of Page)"/>
        <w:docPartUnique/>
      </w:docPartObj>
    </w:sdtPr>
    <w:sdtEndPr>
      <w:rPr>
        <w:noProof/>
      </w:rPr>
    </w:sdtEndPr>
    <w:sdtContent>
      <w:p w14:paraId="47115D7D" w14:textId="29B30F7F" w:rsidR="008A68D9" w:rsidRDefault="008A68D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DD33AF" w14:textId="77777777" w:rsidR="008A68D9" w:rsidRDefault="008A68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754C2" w14:textId="77777777" w:rsidR="008A68D9" w:rsidRDefault="008A68D9" w:rsidP="008A68D9">
      <w:pPr>
        <w:spacing w:after="0" w:line="240" w:lineRule="auto"/>
      </w:pPr>
      <w:r>
        <w:separator/>
      </w:r>
    </w:p>
  </w:footnote>
  <w:footnote w:type="continuationSeparator" w:id="0">
    <w:p w14:paraId="6C31B6C4" w14:textId="77777777" w:rsidR="008A68D9" w:rsidRDefault="008A68D9" w:rsidP="008A68D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6EB"/>
    <w:rsid w:val="000F02F6"/>
    <w:rsid w:val="0011470B"/>
    <w:rsid w:val="0019639A"/>
    <w:rsid w:val="001A49CE"/>
    <w:rsid w:val="001B15AF"/>
    <w:rsid w:val="001D4C8E"/>
    <w:rsid w:val="001D76B6"/>
    <w:rsid w:val="00212998"/>
    <w:rsid w:val="00236EA1"/>
    <w:rsid w:val="002C53AC"/>
    <w:rsid w:val="002D7375"/>
    <w:rsid w:val="003042FC"/>
    <w:rsid w:val="00313858"/>
    <w:rsid w:val="00332F0E"/>
    <w:rsid w:val="00335450"/>
    <w:rsid w:val="00347FBF"/>
    <w:rsid w:val="00356309"/>
    <w:rsid w:val="00356A02"/>
    <w:rsid w:val="00363840"/>
    <w:rsid w:val="00392964"/>
    <w:rsid w:val="003D5726"/>
    <w:rsid w:val="003E3938"/>
    <w:rsid w:val="003F4DD4"/>
    <w:rsid w:val="00412A69"/>
    <w:rsid w:val="00421E83"/>
    <w:rsid w:val="004262AE"/>
    <w:rsid w:val="0045054E"/>
    <w:rsid w:val="005344B0"/>
    <w:rsid w:val="00570033"/>
    <w:rsid w:val="005A6F00"/>
    <w:rsid w:val="005B4606"/>
    <w:rsid w:val="005D56B3"/>
    <w:rsid w:val="005F121B"/>
    <w:rsid w:val="006057F4"/>
    <w:rsid w:val="006104F6"/>
    <w:rsid w:val="0062223F"/>
    <w:rsid w:val="00637C61"/>
    <w:rsid w:val="006B1896"/>
    <w:rsid w:val="006D3634"/>
    <w:rsid w:val="00705BFF"/>
    <w:rsid w:val="00710718"/>
    <w:rsid w:val="007A7246"/>
    <w:rsid w:val="007B1365"/>
    <w:rsid w:val="007D2474"/>
    <w:rsid w:val="00801FE1"/>
    <w:rsid w:val="008220A1"/>
    <w:rsid w:val="008242EC"/>
    <w:rsid w:val="00866E29"/>
    <w:rsid w:val="00876C9B"/>
    <w:rsid w:val="008A68D9"/>
    <w:rsid w:val="008C61EB"/>
    <w:rsid w:val="009A16EB"/>
    <w:rsid w:val="009C6264"/>
    <w:rsid w:val="00A02F4B"/>
    <w:rsid w:val="00A20188"/>
    <w:rsid w:val="00A257EF"/>
    <w:rsid w:val="00A377EF"/>
    <w:rsid w:val="00A709FD"/>
    <w:rsid w:val="00AE753B"/>
    <w:rsid w:val="00B02318"/>
    <w:rsid w:val="00B05D7F"/>
    <w:rsid w:val="00B77CD4"/>
    <w:rsid w:val="00B811BB"/>
    <w:rsid w:val="00BB282E"/>
    <w:rsid w:val="00C32472"/>
    <w:rsid w:val="00C72EB7"/>
    <w:rsid w:val="00C94AD5"/>
    <w:rsid w:val="00C95236"/>
    <w:rsid w:val="00CD0A5A"/>
    <w:rsid w:val="00CE145E"/>
    <w:rsid w:val="00D30111"/>
    <w:rsid w:val="00D5244A"/>
    <w:rsid w:val="00D541C4"/>
    <w:rsid w:val="00D831FE"/>
    <w:rsid w:val="00DA1E61"/>
    <w:rsid w:val="00DB1BB2"/>
    <w:rsid w:val="00DB3624"/>
    <w:rsid w:val="00DD34CE"/>
    <w:rsid w:val="00DE2FE5"/>
    <w:rsid w:val="00DE7C86"/>
    <w:rsid w:val="00DF2DF5"/>
    <w:rsid w:val="00DF41B4"/>
    <w:rsid w:val="00DF643D"/>
    <w:rsid w:val="00E047B6"/>
    <w:rsid w:val="00E30BF7"/>
    <w:rsid w:val="00E42316"/>
    <w:rsid w:val="00E55D7C"/>
    <w:rsid w:val="00E726C0"/>
    <w:rsid w:val="00E77B37"/>
    <w:rsid w:val="00E77F9F"/>
    <w:rsid w:val="00EE1D6B"/>
    <w:rsid w:val="00EE3F3D"/>
    <w:rsid w:val="00F151B8"/>
    <w:rsid w:val="00F32C92"/>
    <w:rsid w:val="00F77A0F"/>
    <w:rsid w:val="00FA0061"/>
    <w:rsid w:val="00FA503C"/>
    <w:rsid w:val="00FA77E3"/>
    <w:rsid w:val="00FE0D6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D4B3B"/>
  <w15:chartTrackingRefBased/>
  <w15:docId w15:val="{03487A18-A8F0-4FBC-8A8C-C8C7158E5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6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16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16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16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16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16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16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16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16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6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16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16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16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16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16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6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6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6EB"/>
    <w:rPr>
      <w:rFonts w:eastAsiaTheme="majorEastAsia" w:cstheme="majorBidi"/>
      <w:color w:val="272727" w:themeColor="text1" w:themeTint="D8"/>
    </w:rPr>
  </w:style>
  <w:style w:type="paragraph" w:styleId="Title">
    <w:name w:val="Title"/>
    <w:basedOn w:val="Normal"/>
    <w:next w:val="Normal"/>
    <w:link w:val="TitleChar"/>
    <w:uiPriority w:val="10"/>
    <w:qFormat/>
    <w:rsid w:val="009A16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6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6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6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6EB"/>
    <w:pPr>
      <w:spacing w:before="160"/>
      <w:jc w:val="center"/>
    </w:pPr>
    <w:rPr>
      <w:i/>
      <w:iCs/>
      <w:color w:val="404040" w:themeColor="text1" w:themeTint="BF"/>
    </w:rPr>
  </w:style>
  <w:style w:type="character" w:customStyle="1" w:styleId="QuoteChar">
    <w:name w:val="Quote Char"/>
    <w:basedOn w:val="DefaultParagraphFont"/>
    <w:link w:val="Quote"/>
    <w:uiPriority w:val="29"/>
    <w:rsid w:val="009A16EB"/>
    <w:rPr>
      <w:i/>
      <w:iCs/>
      <w:color w:val="404040" w:themeColor="text1" w:themeTint="BF"/>
    </w:rPr>
  </w:style>
  <w:style w:type="paragraph" w:styleId="ListParagraph">
    <w:name w:val="List Paragraph"/>
    <w:basedOn w:val="Normal"/>
    <w:uiPriority w:val="34"/>
    <w:qFormat/>
    <w:rsid w:val="009A16EB"/>
    <w:pPr>
      <w:ind w:left="720"/>
      <w:contextualSpacing/>
    </w:pPr>
  </w:style>
  <w:style w:type="character" w:styleId="IntenseEmphasis">
    <w:name w:val="Intense Emphasis"/>
    <w:basedOn w:val="DefaultParagraphFont"/>
    <w:uiPriority w:val="21"/>
    <w:qFormat/>
    <w:rsid w:val="009A16EB"/>
    <w:rPr>
      <w:i/>
      <w:iCs/>
      <w:color w:val="0F4761" w:themeColor="accent1" w:themeShade="BF"/>
    </w:rPr>
  </w:style>
  <w:style w:type="paragraph" w:styleId="IntenseQuote">
    <w:name w:val="Intense Quote"/>
    <w:basedOn w:val="Normal"/>
    <w:next w:val="Normal"/>
    <w:link w:val="IntenseQuoteChar"/>
    <w:uiPriority w:val="30"/>
    <w:qFormat/>
    <w:rsid w:val="009A16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16EB"/>
    <w:rPr>
      <w:i/>
      <w:iCs/>
      <w:color w:val="0F4761" w:themeColor="accent1" w:themeShade="BF"/>
    </w:rPr>
  </w:style>
  <w:style w:type="character" w:styleId="IntenseReference">
    <w:name w:val="Intense Reference"/>
    <w:basedOn w:val="DefaultParagraphFont"/>
    <w:uiPriority w:val="32"/>
    <w:qFormat/>
    <w:rsid w:val="009A16EB"/>
    <w:rPr>
      <w:b/>
      <w:bCs/>
      <w:smallCaps/>
      <w:color w:val="0F4761" w:themeColor="accent1" w:themeShade="BF"/>
      <w:spacing w:val="5"/>
    </w:rPr>
  </w:style>
  <w:style w:type="table" w:styleId="TableGrid">
    <w:name w:val="Table Grid"/>
    <w:basedOn w:val="TableNormal"/>
    <w:uiPriority w:val="39"/>
    <w:rsid w:val="009C62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A68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68D9"/>
  </w:style>
  <w:style w:type="paragraph" w:styleId="Footer">
    <w:name w:val="footer"/>
    <w:basedOn w:val="Normal"/>
    <w:link w:val="FooterChar"/>
    <w:uiPriority w:val="99"/>
    <w:unhideWhenUsed/>
    <w:rsid w:val="008A68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68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435</Words>
  <Characters>2482</Characters>
  <Application>Microsoft Office Word</Application>
  <DocSecurity>0</DocSecurity>
  <Lines>20</Lines>
  <Paragraphs>5</Paragraphs>
  <ScaleCrop>false</ScaleCrop>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Yonas</dc:creator>
  <cp:keywords/>
  <dc:description/>
  <cp:lastModifiedBy>Yonas</cp:lastModifiedBy>
  <cp:revision>93</cp:revision>
  <dcterms:created xsi:type="dcterms:W3CDTF">2025-02-20T02:09:00Z</dcterms:created>
  <dcterms:modified xsi:type="dcterms:W3CDTF">2025-02-21T01:41:00Z</dcterms:modified>
</cp:coreProperties>
</file>