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588F588E" w:rsidR="000072B2" w:rsidRDefault="000072B2" w:rsidP="008B11AB">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w:t>
      </w:r>
      <w:r w:rsidR="008B11AB">
        <w:rPr>
          <w:rFonts w:cs="Times"/>
          <w:color w:val="000000"/>
        </w:rPr>
        <w:t xml:space="preserve">its </w:t>
      </w:r>
      <w:r>
        <w:rPr>
          <w:rFonts w:cs="Times"/>
          <w:color w:val="000000"/>
        </w:rPr>
        <w:t xml:space="preserve">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fldSimple w:instr=" SEQ Figure \* ARABIC ">
        <w:r>
          <w:rPr>
            <w:noProof/>
          </w:rPr>
          <w:t>1</w:t>
        </w:r>
      </w:fldSimple>
      <w:r>
        <w:t xml:space="preserve"> </w:t>
      </w:r>
      <w:r w:rsidR="00BF21D3" w:rsidRPr="00BF21D3">
        <w:t xml:space="preserve">Definition of </w:t>
      </w:r>
      <w:proofErr w:type="spellStart"/>
      <w:r w:rsidR="00BF21D3" w:rsidRPr="00BF21D3">
        <w:t>IoT</w:t>
      </w:r>
      <w:proofErr w:type="spellEnd"/>
      <w:r w:rsidR="00BF21D3" w:rsidRPr="00BF21D3">
        <w:t xml:space="preserve"> </w:t>
      </w:r>
      <w:r w:rsidR="00BF21D3">
        <w:t>[10]</w:t>
      </w:r>
      <w:bookmarkStart w:id="0" w:name="_GoBack"/>
      <w:bookmarkEnd w:id="0"/>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77777777" w:rsidR="00F85856" w:rsidRDefault="00F85856" w:rsidP="00A75286">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w:t>
      </w:r>
      <w:r>
        <w:lastRenderedPageBreak/>
        <w:t xml:space="preserve">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77777777" w:rsidR="00F85856" w:rsidRDefault="00F85856" w:rsidP="00A75286">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77777777" w:rsidR="00B83D8B" w:rsidRDefault="00B83D8B" w:rsidP="00A75286">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lastRenderedPageBreak/>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fldSimple w:instr=" SEQ Figure \* ARABIC ">
        <w:r w:rsidR="00BB1BB6">
          <w:rPr>
            <w:noProof/>
          </w:rPr>
          <w:t>3</w:t>
        </w:r>
      </w:fldSimple>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lastRenderedPageBreak/>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w:t>
      </w:r>
      <w:r>
        <w:lastRenderedPageBreak/>
        <w:t xml:space="preserve">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 xml:space="preserve">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w:t>
      </w:r>
      <w:r>
        <w:lastRenderedPageBreak/>
        <w:t>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Default="00F14602" w:rsidP="00A75286"/>
    <w:p w14:paraId="5E5C9EA4" w14:textId="77777777" w:rsidR="00A63071" w:rsidRPr="00A63071" w:rsidRDefault="00A63071" w:rsidP="00A63071">
      <w:r>
        <w:t xml:space="preserve">[14] </w:t>
      </w:r>
      <w:r w:rsidRPr="00A63071">
        <w:t xml:space="preserve">CHIANG, Mung; ZHANG, Tao. Fog and </w:t>
      </w:r>
      <w:proofErr w:type="spellStart"/>
      <w:r w:rsidRPr="00A63071">
        <w:t>IoT</w:t>
      </w:r>
      <w:proofErr w:type="spellEnd"/>
      <w:r w:rsidRPr="00A63071">
        <w:t>: An overview of research opportunities. IEEE Internet of things journal, 2016, 3.6: 854-</w:t>
      </w:r>
      <w:proofErr w:type="gramStart"/>
      <w:r w:rsidRPr="00A63071">
        <w:t>864.</w:t>
      </w:r>
      <w:r w:rsidRPr="00A63071">
        <w:rPr>
          <w:rFonts w:cs="Arial"/>
          <w:rtl/>
        </w:rPr>
        <w:t>‏</w:t>
      </w:r>
      <w:proofErr w:type="gramEnd"/>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2ABED" w14:textId="77777777" w:rsidR="0047281B" w:rsidRDefault="0047281B" w:rsidP="001805BE">
      <w:r>
        <w:separator/>
      </w:r>
    </w:p>
  </w:endnote>
  <w:endnote w:type="continuationSeparator" w:id="0">
    <w:p w14:paraId="21E5CCCA" w14:textId="77777777" w:rsidR="0047281B" w:rsidRDefault="0047281B"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F21D3">
      <w:rPr>
        <w:rStyle w:val="PageNumber"/>
        <w:noProof/>
      </w:rPr>
      <w:t>3</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868C1" w14:textId="77777777" w:rsidR="0047281B" w:rsidRDefault="0047281B" w:rsidP="001805BE">
      <w:r>
        <w:separator/>
      </w:r>
    </w:p>
  </w:footnote>
  <w:footnote w:type="continuationSeparator" w:id="0">
    <w:p w14:paraId="09762A60" w14:textId="77777777" w:rsidR="0047281B" w:rsidRDefault="0047281B"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67071"/>
    <w:rsid w:val="000731CF"/>
    <w:rsid w:val="000771F4"/>
    <w:rsid w:val="000C23C2"/>
    <w:rsid w:val="000C71CD"/>
    <w:rsid w:val="000D47EC"/>
    <w:rsid w:val="000F6637"/>
    <w:rsid w:val="00106B86"/>
    <w:rsid w:val="00127FD1"/>
    <w:rsid w:val="00146CFB"/>
    <w:rsid w:val="00153CCA"/>
    <w:rsid w:val="001657E7"/>
    <w:rsid w:val="001805BE"/>
    <w:rsid w:val="0018474A"/>
    <w:rsid w:val="001B3C07"/>
    <w:rsid w:val="001D297C"/>
    <w:rsid w:val="001E273C"/>
    <w:rsid w:val="0025369C"/>
    <w:rsid w:val="00277B56"/>
    <w:rsid w:val="002A0C3D"/>
    <w:rsid w:val="002B33A6"/>
    <w:rsid w:val="002B687E"/>
    <w:rsid w:val="002F1E8D"/>
    <w:rsid w:val="00334B01"/>
    <w:rsid w:val="00341866"/>
    <w:rsid w:val="00381650"/>
    <w:rsid w:val="0038695D"/>
    <w:rsid w:val="003A0810"/>
    <w:rsid w:val="003A3F8A"/>
    <w:rsid w:val="003A40F4"/>
    <w:rsid w:val="003D155C"/>
    <w:rsid w:val="003F4424"/>
    <w:rsid w:val="00424FF7"/>
    <w:rsid w:val="004628CF"/>
    <w:rsid w:val="0047281B"/>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354E2"/>
    <w:rsid w:val="007400DF"/>
    <w:rsid w:val="00765CB7"/>
    <w:rsid w:val="00797155"/>
    <w:rsid w:val="007F403A"/>
    <w:rsid w:val="00825253"/>
    <w:rsid w:val="00866396"/>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41139"/>
    <w:rsid w:val="00A43488"/>
    <w:rsid w:val="00A608E7"/>
    <w:rsid w:val="00A63071"/>
    <w:rsid w:val="00A648B6"/>
    <w:rsid w:val="00A7156A"/>
    <w:rsid w:val="00A72026"/>
    <w:rsid w:val="00A75286"/>
    <w:rsid w:val="00A87652"/>
    <w:rsid w:val="00AA3A0D"/>
    <w:rsid w:val="00AC32CD"/>
    <w:rsid w:val="00AE038E"/>
    <w:rsid w:val="00B31303"/>
    <w:rsid w:val="00B5263A"/>
    <w:rsid w:val="00B66E57"/>
    <w:rsid w:val="00B83D8B"/>
    <w:rsid w:val="00BB1BB6"/>
    <w:rsid w:val="00BC0DBB"/>
    <w:rsid w:val="00BC50AA"/>
    <w:rsid w:val="00BF119A"/>
    <w:rsid w:val="00BF21D3"/>
    <w:rsid w:val="00C201C9"/>
    <w:rsid w:val="00C94B4E"/>
    <w:rsid w:val="00C95407"/>
    <w:rsid w:val="00CA1F37"/>
    <w:rsid w:val="00CA22E7"/>
    <w:rsid w:val="00CF32DF"/>
    <w:rsid w:val="00D11974"/>
    <w:rsid w:val="00D36EF3"/>
    <w:rsid w:val="00D62B11"/>
    <w:rsid w:val="00DA0E54"/>
    <w:rsid w:val="00DB4B7B"/>
    <w:rsid w:val="00E02F69"/>
    <w:rsid w:val="00E0626B"/>
    <w:rsid w:val="00E40485"/>
    <w:rsid w:val="00E43484"/>
    <w:rsid w:val="00E60315"/>
    <w:rsid w:val="00E60D18"/>
    <w:rsid w:val="00E66343"/>
    <w:rsid w:val="00E6636A"/>
    <w:rsid w:val="00EC43C7"/>
    <w:rsid w:val="00ED2F2B"/>
    <w:rsid w:val="00ED6273"/>
    <w:rsid w:val="00ED7F8B"/>
    <w:rsid w:val="00EF2EBA"/>
    <w:rsid w:val="00EF539E"/>
    <w:rsid w:val="00F14602"/>
    <w:rsid w:val="00F1767F"/>
    <w:rsid w:val="00F333B5"/>
    <w:rsid w:val="00F372DC"/>
    <w:rsid w:val="00F71068"/>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0D968F5-D625-3047-9766-678BED289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19</Pages>
  <Words>5081</Words>
  <Characters>28968</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160</cp:revision>
  <dcterms:created xsi:type="dcterms:W3CDTF">2022-02-11T12:50:00Z</dcterms:created>
  <dcterms:modified xsi:type="dcterms:W3CDTF">2022-07-18T16:42:00Z</dcterms:modified>
</cp:coreProperties>
</file>