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מסמך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פרויקט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PT</w:t>
      </w:r>
      <w:r w:rsidDel="00000000" w:rsidR="00000000" w:rsidRPr="00000000">
        <w:rPr>
          <w:sz w:val="72"/>
          <w:szCs w:val="72"/>
          <w:rtl w:val="1"/>
        </w:rPr>
        <w:t xml:space="preserve"> - </w:t>
      </w:r>
      <w:r w:rsidDel="00000000" w:rsidR="00000000" w:rsidRPr="00000000">
        <w:rPr>
          <w:sz w:val="72"/>
          <w:szCs w:val="72"/>
          <w:rtl w:val="1"/>
        </w:rPr>
        <w:t xml:space="preserve">תשע</w:t>
      </w:r>
      <w:r w:rsidDel="00000000" w:rsidR="00000000" w:rsidRPr="00000000">
        <w:rPr>
          <w:sz w:val="72"/>
          <w:szCs w:val="72"/>
          <w:rtl w:val="1"/>
        </w:rPr>
        <w:t xml:space="preserve">"</w:t>
      </w:r>
      <w:r w:rsidDel="00000000" w:rsidR="00000000" w:rsidRPr="00000000">
        <w:rPr>
          <w:sz w:val="72"/>
          <w:szCs w:val="72"/>
          <w:rtl w:val="1"/>
        </w:rPr>
        <w:t xml:space="preserve">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צוות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יונתן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גבאי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קייזר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אשדוד</w:t>
      </w:r>
      <w:r w:rsidDel="00000000" w:rsidR="00000000" w:rsidRPr="00000000">
        <w:rPr>
          <w:sz w:val="36"/>
          <w:szCs w:val="36"/>
          <w:rtl w:val="1"/>
        </w:rPr>
        <w:t xml:space="preserve"> 6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מדריך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ויינרובסקי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מנטור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בתמציתיות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טבלת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מעקב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60"/>
        <w:gridCol w:w="2220"/>
        <w:gridCol w:w="2250"/>
        <w:tblGridChange w:id="0">
          <w:tblGrid>
            <w:gridCol w:w="2130"/>
            <w:gridCol w:w="2160"/>
            <w:gridCol w:w="2220"/>
            <w:gridCol w:w="22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פרק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1: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שמטרתו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תיאור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מטרת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1"/>
        </w:rPr>
        <w:t xml:space="preserve">סוגי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/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קהל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היעד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1"/>
        </w:rPr>
        <w:t xml:space="preserve">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after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טכנולוגיות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ושיקולים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ידע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סיכונים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פתרונות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קיימים</w:t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>
          <w:i w:val="1"/>
        </w:rPr>
      </w:pPr>
      <w:bookmarkStart w:colFirst="0" w:colLast="0" w:name="_lnxbz9" w:id="13"/>
      <w:bookmarkEnd w:id="13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מציפות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5322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29597" l="20555" r="20082" t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575322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8qh4tcj81fy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571pnt3oe1m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7seunub7dpxu" w:id="21"/>
      <w:bookmarkEnd w:id="21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3j2qqm3" w:id="22"/>
      <w:bookmarkEnd w:id="22"/>
      <w:r w:rsidDel="00000000" w:rsidR="00000000" w:rsidRPr="00000000">
        <w:rPr>
          <w:b w:val="1"/>
          <w:rtl w:val="1"/>
        </w:rPr>
        <w:t xml:space="preserve">מבט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שרטוט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95875" cy="37528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7250" y="38100"/>
                          <a:ext cx="5095875" cy="3752850"/>
                          <a:chOff x="857250" y="38100"/>
                          <a:chExt cx="5076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8650" y="333375"/>
                            <a:ext cx="50007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76825" y="1200075"/>
                            <a:ext cx="1238400" cy="419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Wrapper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27950" y="514350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419150" y="514350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029350" y="981088"/>
                            <a:ext cx="638175" cy="733425"/>
                          </a:xfrm>
                          <a:prstGeom prst="flowChartMagneticDisk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856550" y="1226325"/>
                            <a:ext cx="11334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515225" y="1347825"/>
                            <a:ext cx="514200" cy="6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23250" y="914325"/>
                            <a:ext cx="17001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928650" y="2247900"/>
                            <a:ext cx="24669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581425" y="3009900"/>
                            <a:ext cx="685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nmap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190475" y="3009900"/>
                            <a:ext cx="10194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190475" y="2388463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885950" y="1626225"/>
                            <a:ext cx="537300" cy="7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700175" y="2788363"/>
                            <a:ext cx="185700" cy="2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2247900"/>
                            <a:ext cx="22194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57250" y="1938325"/>
                            <a:ext cx="11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62025" y="38100"/>
                            <a:ext cx="14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90950" y="1905000"/>
                            <a:ext cx="12384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User’s site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895875" y="2388475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81275" y="2588413"/>
                            <a:ext cx="131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895950" y="914250"/>
                            <a:ext cx="2274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809950" y="714300"/>
                            <a:ext cx="61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09875" y="3209850"/>
                            <a:ext cx="37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375285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מילולי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Wrapper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Warpper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ממלכודות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1y810tw" w:id="23"/>
      <w:bookmarkEnd w:id="23"/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ויישויות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חותמת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4i7ojhp" w:id="24"/>
      <w:bookmarkEnd w:id="24"/>
      <w:r w:rsidDel="00000000" w:rsidR="00000000" w:rsidRPr="00000000">
        <w:rPr>
          <w:b w:val="1"/>
          <w:rtl w:val="1"/>
        </w:rPr>
        <w:t xml:space="preserve">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עיקריות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ושיקולים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לינוקס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קאלי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2xcytpi" w:id="25"/>
      <w:bookmarkEnd w:id="25"/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ותצוגתם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