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1123046875" w:line="240" w:lineRule="auto"/>
        <w:ind w:left="0" w:right="298.89160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-109699</wp:posOffset>
            </wp:positionH>
            <wp:positionV relativeFrom="paragraph">
              <wp:posOffset>-58674</wp:posOffset>
            </wp:positionV>
            <wp:extent cx="380238" cy="569214"/>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0238" cy="56921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255859375" w:line="240" w:lineRule="auto"/>
        <w:ind w:left="2170.8000183105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857500" cy="12382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75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6798400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REPÚBLICA BOLIVARIANA DE VENEZUELA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382.0970821380615" w:lineRule="auto"/>
        <w:ind w:left="270.9600830078125" w:right="568.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DEL PODER POPULAR PARA LA EDUCACIÓN UNIVERSITARIA UNIVERSIDAD NACIONAL EXPERIMENTAL RÓMULO GALLEGOS ÁREA DE INGENIERÍA EN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INGENIERÍA INFORMATICA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line="276" w:lineRule="auto"/>
        <w:jc w:val="center"/>
        <w:rPr>
          <w:rFonts w:ascii="Times New Roman" w:cs="Times New Roman" w:eastAsia="Times New Roman" w:hAnsi="Times New Roman"/>
          <w:b w:val="1"/>
          <w:bCs w:val="1"/>
          <w:i w:val="0"/>
          <w:iCs w:val="0"/>
          <w:smallCaps w:val="0"/>
          <w:strike w:val="0"/>
          <w:color w:val="000000"/>
          <w:sz w:val="32.079999923706055"/>
          <w:szCs w:val="32.079999923706055"/>
          <w:u w:val="none"/>
          <w:shd w:fill="auto" w:val="clear"/>
          <w:vertAlign w:val="baseline"/>
        </w:rPr>
      </w:pPr>
      <w:r w:rsidDel="00000000" w:rsidR="00000000" w:rsidRPr="00000000">
        <w:rPr>
          <w:rFonts w:ascii="Times New Roman" w:cs="Times New Roman" w:eastAsia="Times New Roman" w:hAnsi="Times New Roman"/>
          <w:sz w:val="56"/>
          <w:szCs w:val="56"/>
          <w:rtl w:val="0"/>
        </w:rPr>
        <w:t xml:space="preserve">ANÁLISIS EMPRESA MEDICONNECT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314453125" w:line="240" w:lineRule="auto"/>
        <w:ind w:left="2891.800079345703" w:right="0" w:firstLine="0"/>
        <w:jc w:val="left"/>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0F">
      <w:pPr>
        <w:spacing w:after="1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Wilmer caldera                                                                             Integrantes :</w:t>
      </w:r>
    </w:p>
    <w:p w:rsidR="00000000" w:rsidDel="00000000" w:rsidP="00000000" w:rsidRDefault="00000000" w:rsidRPr="00000000" w14:paraId="00000010">
      <w:pPr>
        <w:spacing w:after="12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Yondayler Flores  C.I: 31.786.681</w:t>
      </w:r>
    </w:p>
    <w:p w:rsidR="00000000" w:rsidDel="00000000" w:rsidP="00000000" w:rsidRDefault="00000000" w:rsidRPr="00000000" w14:paraId="00000011">
      <w:pPr>
        <w:spacing w:after="12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Oscar Agudelo C.I: 31.339.031</w:t>
      </w:r>
    </w:p>
    <w:p w:rsidR="00000000" w:rsidDel="00000000" w:rsidP="00000000" w:rsidRDefault="00000000" w:rsidRPr="00000000" w14:paraId="00000012">
      <w:pPr>
        <w:spacing w:after="12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Yeison Osorio C.I: 31381866</w:t>
      </w:r>
    </w:p>
    <w:p w:rsidR="00000000" w:rsidDel="00000000" w:rsidP="00000000" w:rsidRDefault="00000000" w:rsidRPr="00000000" w14:paraId="00000013">
      <w:pPr>
        <w:spacing w:after="12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Nixon Ochoa C.I: 30.463.886</w:t>
      </w:r>
    </w:p>
    <w:p w:rsidR="00000000" w:rsidDel="00000000" w:rsidP="00000000" w:rsidRDefault="00000000" w:rsidRPr="00000000" w14:paraId="00000014">
      <w:pPr>
        <w:spacing w:after="12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Felix Vegas C.I: 30.811.148</w:t>
      </w:r>
    </w:p>
    <w:p w:rsidR="00000000" w:rsidDel="00000000" w:rsidP="00000000" w:rsidRDefault="00000000" w:rsidRPr="00000000" w14:paraId="00000015">
      <w:pPr>
        <w:spacing w:after="120"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120"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120"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Heading3"/>
        <w:keepNext w:val="0"/>
        <w:keepLines w:val="0"/>
        <w:widowControl w:val="0"/>
        <w:spacing w:line="247.9006290435791" w:lineRule="auto"/>
        <w:ind w:right="244.320068359375"/>
        <w:jc w:val="center"/>
        <w:rPr>
          <w:rFonts w:ascii="Times New Roman" w:cs="Times New Roman" w:eastAsia="Times New Roman" w:hAnsi="Times New Roman"/>
          <w:sz w:val="32"/>
          <w:szCs w:val="32"/>
        </w:rPr>
      </w:pPr>
      <w:bookmarkStart w:colFirst="0" w:colLast="0" w:name="_wjxdk8axxr01" w:id="0"/>
      <w:bookmarkEnd w:id="0"/>
      <w:r w:rsidDel="00000000" w:rsidR="00000000" w:rsidRPr="00000000">
        <w:rPr>
          <w:rFonts w:ascii="Times New Roman" w:cs="Times New Roman" w:eastAsia="Times New Roman" w:hAnsi="Times New Roman"/>
          <w:sz w:val="32"/>
          <w:szCs w:val="32"/>
          <w:rtl w:val="0"/>
        </w:rPr>
        <w:t xml:space="preserve">Análisis del Proyecto: MediConnect C.A.</w:t>
      </w:r>
    </w:p>
    <w:p w:rsidR="00000000" w:rsidDel="00000000" w:rsidP="00000000" w:rsidRDefault="00000000" w:rsidRPr="00000000" w14:paraId="00000019">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Propuesta de Valor y Definición del Producto</w:t>
      </w:r>
      <w:r w:rsidDel="00000000" w:rsidR="00000000" w:rsidRPr="00000000">
        <w:rPr>
          <w:rFonts w:ascii="Times New Roman" w:cs="Times New Roman" w:eastAsia="Times New Roman" w:hAnsi="Times New Roman"/>
          <w:sz w:val="28"/>
          <w:szCs w:val="28"/>
          <w:rtl w:val="0"/>
        </w:rPr>
        <w:t xml:space="preserve"> El grupo de </w:t>
      </w:r>
      <w:r w:rsidDel="00000000" w:rsidR="00000000" w:rsidRPr="00000000">
        <w:rPr>
          <w:rFonts w:ascii="Times New Roman" w:cs="Times New Roman" w:eastAsia="Times New Roman" w:hAnsi="Times New Roman"/>
          <w:b w:val="1"/>
          <w:bCs w:val="1"/>
          <w:sz w:val="28"/>
          <w:szCs w:val="28"/>
          <w:rtl w:val="0"/>
        </w:rPr>
        <w:t xml:space="preserve">MediConnect C.A.</w:t>
      </w:r>
      <w:r w:rsidDel="00000000" w:rsidR="00000000" w:rsidRPr="00000000">
        <w:rPr>
          <w:rFonts w:ascii="Times New Roman" w:cs="Times New Roman" w:eastAsia="Times New Roman" w:hAnsi="Times New Roman"/>
          <w:sz w:val="28"/>
          <w:szCs w:val="28"/>
          <w:rtl w:val="0"/>
        </w:rPr>
        <w:t xml:space="preserve"> presenta una iniciativa tecnológica orientada al sector salud, cuyo propósito es establecer un vínculo directo entre profesionales médicos y pacientes a través de la telemedicina. La solución técnica propuesta, denominada "MediConnect WebApp", se define como una plataforma de arquitectura web responsiva diseñada para gestionar consultas en línea, historias clínicas y agendas médicas.</w:t>
      </w:r>
    </w:p>
    <w:p w:rsidR="00000000" w:rsidDel="00000000" w:rsidP="00000000" w:rsidRDefault="00000000" w:rsidRPr="00000000" w14:paraId="0000001A">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justificación del proyecto es sólida, ya que aborda problemas reales del sistema sanitario como la necesidad de reducir tiempos de espera y garantizar la seguridad de la información mediante cifrado de datos. La propuesta demuestra una comprensión clara de cómo la tecnología puede optimizar procesos de atención sanitaria en entornos virtuales.</w:t>
      </w:r>
    </w:p>
    <w:p w:rsidR="00000000" w:rsidDel="00000000" w:rsidP="00000000" w:rsidRDefault="00000000" w:rsidRPr="00000000" w14:paraId="0000001B">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Marco Teórico: Tipología Empresarial</w:t>
      </w:r>
      <w:r w:rsidDel="00000000" w:rsidR="00000000" w:rsidRPr="00000000">
        <w:rPr>
          <w:rFonts w:ascii="Times New Roman" w:cs="Times New Roman" w:eastAsia="Times New Roman" w:hAnsi="Times New Roman"/>
          <w:sz w:val="28"/>
          <w:szCs w:val="28"/>
          <w:rtl w:val="0"/>
        </w:rPr>
        <w:t xml:space="preserve"> El contenido expuesto por el grupo ofrece un desglose detallado de cuatro modelos organizacionales, estableciendo una base teórica sobre las formas de constitución económica:</w:t>
      </w:r>
    </w:p>
    <w:p w:rsidR="00000000" w:rsidDel="00000000" w:rsidP="00000000" w:rsidRDefault="00000000" w:rsidRPr="00000000" w14:paraId="0000001C">
      <w:pPr>
        <w:widowControl w:val="0"/>
        <w:numPr>
          <w:ilvl w:val="0"/>
          <w:numId w:val="1"/>
        </w:numPr>
        <w:spacing w:after="0" w:afterAutospacing="0" w:before="240" w:line="247.900629043579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Microempresa:</w:t>
      </w:r>
      <w:r w:rsidDel="00000000" w:rsidR="00000000" w:rsidRPr="00000000">
        <w:rPr>
          <w:rFonts w:ascii="Times New Roman" w:cs="Times New Roman" w:eastAsia="Times New Roman" w:hAnsi="Times New Roman"/>
          <w:sz w:val="28"/>
          <w:szCs w:val="28"/>
          <w:rtl w:val="0"/>
        </w:rPr>
        <w:t xml:space="preserve"> Se analiza como una unidad económica básica, caracterizada por su flexibilidad operativa, estructura simple y limitaciones de capital, siendo fundamental para el desarrollo local.</w:t>
      </w:r>
    </w:p>
    <w:p w:rsidR="00000000" w:rsidDel="00000000" w:rsidP="00000000" w:rsidRDefault="00000000" w:rsidRPr="00000000" w14:paraId="0000001D">
      <w:pPr>
        <w:widowControl w:val="0"/>
        <w:numPr>
          <w:ilvl w:val="0"/>
          <w:numId w:val="1"/>
        </w:numPr>
        <w:spacing w:after="0" w:afterAutospacing="0" w:before="0" w:beforeAutospacing="0" w:line="247.900629043579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Empresa Cooperativa:</w:t>
      </w:r>
      <w:r w:rsidDel="00000000" w:rsidR="00000000" w:rsidRPr="00000000">
        <w:rPr>
          <w:rFonts w:ascii="Times New Roman" w:cs="Times New Roman" w:eastAsia="Times New Roman" w:hAnsi="Times New Roman"/>
          <w:sz w:val="28"/>
          <w:szCs w:val="28"/>
          <w:rtl w:val="0"/>
        </w:rPr>
        <w:t xml:space="preserve"> Se define bajo los principios de la Alianza Cooperativa Internacional, destacando la gestión democrática y el objetivo de bienestar común sobre el lucro individual.</w:t>
      </w:r>
    </w:p>
    <w:p w:rsidR="00000000" w:rsidDel="00000000" w:rsidP="00000000" w:rsidRDefault="00000000" w:rsidRPr="00000000" w14:paraId="0000001E">
      <w:pPr>
        <w:widowControl w:val="0"/>
        <w:numPr>
          <w:ilvl w:val="0"/>
          <w:numId w:val="1"/>
        </w:numPr>
        <w:spacing w:after="0" w:afterAutospacing="0" w:before="0" w:beforeAutospacing="0" w:line="247.900629043579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Empresa Mercantil:</w:t>
      </w:r>
      <w:r w:rsidDel="00000000" w:rsidR="00000000" w:rsidRPr="00000000">
        <w:rPr>
          <w:rFonts w:ascii="Times New Roman" w:cs="Times New Roman" w:eastAsia="Times New Roman" w:hAnsi="Times New Roman"/>
          <w:sz w:val="28"/>
          <w:szCs w:val="28"/>
          <w:rtl w:val="0"/>
        </w:rPr>
        <w:t xml:space="preserve"> Se describe como la organización dedicada a actos de comercio con fines de lucro, regida por la oferta y la demanda, y estructurada formalmente bajo figuras jurídicas como la Sociedad Anónima.</w:t>
      </w:r>
    </w:p>
    <w:p w:rsidR="00000000" w:rsidDel="00000000" w:rsidP="00000000" w:rsidRDefault="00000000" w:rsidRPr="00000000" w14:paraId="0000001F">
      <w:pPr>
        <w:widowControl w:val="0"/>
        <w:numPr>
          <w:ilvl w:val="0"/>
          <w:numId w:val="1"/>
        </w:numPr>
        <w:spacing w:after="240" w:before="0" w:beforeAutospacing="0" w:line="247.900629043579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Empresa de Producción Social (EPS):</w:t>
      </w:r>
      <w:r w:rsidDel="00000000" w:rsidR="00000000" w:rsidRPr="00000000">
        <w:rPr>
          <w:rFonts w:ascii="Times New Roman" w:cs="Times New Roman" w:eastAsia="Times New Roman" w:hAnsi="Times New Roman"/>
          <w:sz w:val="28"/>
          <w:szCs w:val="28"/>
          <w:rtl w:val="0"/>
        </w:rPr>
        <w:t xml:space="preserve"> Se presenta como una alternativa enfocada en el desarrollo colectivo y la propiedad social, relevante en el contexto latinoamericano para promover la soberanía económica local.</w:t>
      </w:r>
    </w:p>
    <w:p w:rsidR="00000000" w:rsidDel="00000000" w:rsidP="00000000" w:rsidRDefault="00000000" w:rsidRPr="00000000" w14:paraId="00000020">
      <w:pPr>
        <w:widowControl w:val="0"/>
        <w:spacing w:after="240" w:before="240" w:line="247.900629043579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after="240" w:before="240" w:line="247.900629043579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after="240" w:before="240" w:line="247.900629043579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after="240" w:before="240" w:line="247.900629043579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Coherencia Estratégica del Modelo de Negocio</w:t>
      </w:r>
      <w:r w:rsidDel="00000000" w:rsidR="00000000" w:rsidRPr="00000000">
        <w:rPr>
          <w:rFonts w:ascii="Times New Roman" w:cs="Times New Roman" w:eastAsia="Times New Roman" w:hAnsi="Times New Roman"/>
          <w:sz w:val="28"/>
          <w:szCs w:val="28"/>
          <w:rtl w:val="0"/>
        </w:rPr>
        <w:t xml:space="preserve"> Existe una alineación correcta entre la identidad de la organización propuesta y el marco teórico desarrollado. El grupo constituye su proyecto bajo la denominación </w:t>
      </w:r>
      <w:r w:rsidDel="00000000" w:rsidR="00000000" w:rsidRPr="00000000">
        <w:rPr>
          <w:rFonts w:ascii="Times New Roman" w:cs="Times New Roman" w:eastAsia="Times New Roman" w:hAnsi="Times New Roman"/>
          <w:b w:val="1"/>
          <w:bCs w:val="1"/>
          <w:sz w:val="28"/>
          <w:szCs w:val="28"/>
          <w:rtl w:val="0"/>
        </w:rPr>
        <w:t xml:space="preserve">"MediConnect C.A."</w:t>
      </w:r>
      <w:r w:rsidDel="00000000" w:rsidR="00000000" w:rsidRPr="00000000">
        <w:rPr>
          <w:rFonts w:ascii="Times New Roman" w:cs="Times New Roman" w:eastAsia="Times New Roman" w:hAnsi="Times New Roman"/>
          <w:sz w:val="28"/>
          <w:szCs w:val="28"/>
          <w:rtl w:val="0"/>
        </w:rPr>
        <w:t xml:space="preserve">, lo cual lo clasifica jurídicamente como una Compañía Anónima. Esto es coherente con su exposición sobre la </w:t>
      </w:r>
      <w:r w:rsidDel="00000000" w:rsidR="00000000" w:rsidRPr="00000000">
        <w:rPr>
          <w:rFonts w:ascii="Times New Roman" w:cs="Times New Roman" w:eastAsia="Times New Roman" w:hAnsi="Times New Roman"/>
          <w:b w:val="1"/>
          <w:bCs w:val="1"/>
          <w:sz w:val="28"/>
          <w:szCs w:val="28"/>
          <w:rtl w:val="0"/>
        </w:rPr>
        <w:t xml:space="preserve">Empresa Mercantil</w:t>
      </w:r>
      <w:r w:rsidDel="00000000" w:rsidR="00000000" w:rsidRPr="00000000">
        <w:rPr>
          <w:rFonts w:ascii="Times New Roman" w:cs="Times New Roman" w:eastAsia="Times New Roman" w:hAnsi="Times New Roman"/>
          <w:sz w:val="28"/>
          <w:szCs w:val="28"/>
          <w:rtl w:val="0"/>
        </w:rPr>
        <w:t xml:space="preserve">, donde explican que este modelo busca la rentabilidad, posee personalidad jurídica y permite una estructura profesionalizada para operar en el mercado.</w:t>
      </w:r>
    </w:p>
    <w:p w:rsidR="00000000" w:rsidDel="00000000" w:rsidP="00000000" w:rsidRDefault="00000000" w:rsidRPr="00000000" w14:paraId="00000025">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elección del modelo mercantil es adecuada para una empresa de desarrollo de software que requiere escalabilidad, acceso a financiamiento y una gestión estructurada de recursos, ventajas que el mismo grupo identifica en su análisis teórico.</w:t>
      </w:r>
    </w:p>
    <w:p w:rsidR="00000000" w:rsidDel="00000000" w:rsidP="00000000" w:rsidRDefault="00000000" w:rsidRPr="00000000" w14:paraId="00000026">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Observación Crítica: Nivel de Desarrollo del Control de Proyectos</w:t>
      </w:r>
      <w:r w:rsidDel="00000000" w:rsidR="00000000" w:rsidRPr="00000000">
        <w:rPr>
          <w:rFonts w:ascii="Times New Roman" w:cs="Times New Roman" w:eastAsia="Times New Roman" w:hAnsi="Times New Roman"/>
          <w:sz w:val="28"/>
          <w:szCs w:val="28"/>
          <w:rtl w:val="0"/>
        </w:rPr>
        <w:t xml:space="preserve"> Aunque el grupo demuestra un dominio extenso de los antecedentes históricos y características de los distintos tipos de empresas, el enfoque actual es predominantemente descriptivo y legal.</w:t>
      </w:r>
    </w:p>
    <w:p w:rsidR="00000000" w:rsidDel="00000000" w:rsidP="00000000" w:rsidRDefault="00000000" w:rsidRPr="00000000" w14:paraId="00000027">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bien se define claramente </w:t>
      </w:r>
      <w:r w:rsidDel="00000000" w:rsidR="00000000" w:rsidRPr="00000000">
        <w:rPr>
          <w:rFonts w:ascii="Times New Roman" w:cs="Times New Roman" w:eastAsia="Times New Roman" w:hAnsi="Times New Roman"/>
          <w:i w:val="1"/>
          <w:iCs w:val="1"/>
          <w:sz w:val="28"/>
          <w:szCs w:val="28"/>
          <w:rtl w:val="0"/>
        </w:rPr>
        <w:t xml:space="preserve">qué</w:t>
      </w:r>
      <w:r w:rsidDel="00000000" w:rsidR="00000000" w:rsidRPr="00000000">
        <w:rPr>
          <w:rFonts w:ascii="Times New Roman" w:cs="Times New Roman" w:eastAsia="Times New Roman" w:hAnsi="Times New Roman"/>
          <w:sz w:val="28"/>
          <w:szCs w:val="28"/>
          <w:rtl w:val="0"/>
        </w:rPr>
        <w:t xml:space="preserve"> tipo de empresa es MediConnect C.A., la propuesta carece de los elementos prácticos de gestión administrativa. No se presenta la estructura organizativa interna de la empresa (organigrama), ni la planificación de recursos humanos o financieros necesarios para poner en marcha la "MediConnect WebApp". La exposición define teóricamente que una empresa mercantil debe llevar "contabilidad formal" y tener una "organización estructurada", pero no aplica estos principios presentando los costos operativos o el plan de inversión de su propio proyecto.</w:t>
      </w:r>
    </w:p>
    <w:p w:rsidR="00000000" w:rsidDel="00000000" w:rsidP="00000000" w:rsidRDefault="00000000" w:rsidRPr="00000000" w14:paraId="00000028">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widowControl w:val="0"/>
        <w:spacing w:after="240" w:before="240" w:line="247.9006290435791"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Conclusión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1">
      <w:pPr>
        <w:widowControl w:val="0"/>
        <w:spacing w:after="240" w:before="240" w:line="247.9006290435791"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grupo de </w:t>
      </w:r>
      <w:r w:rsidDel="00000000" w:rsidR="00000000" w:rsidRPr="00000000">
        <w:rPr>
          <w:rFonts w:ascii="Times New Roman" w:cs="Times New Roman" w:eastAsia="Times New Roman" w:hAnsi="Times New Roman"/>
          <w:b w:val="1"/>
          <w:bCs w:val="1"/>
          <w:sz w:val="28"/>
          <w:szCs w:val="28"/>
          <w:rtl w:val="0"/>
        </w:rPr>
        <w:t xml:space="preserve">MediConnect C.A.</w:t>
      </w:r>
      <w:r w:rsidDel="00000000" w:rsidR="00000000" w:rsidRPr="00000000">
        <w:rPr>
          <w:rFonts w:ascii="Times New Roman" w:cs="Times New Roman" w:eastAsia="Times New Roman" w:hAnsi="Times New Roman"/>
          <w:sz w:val="28"/>
          <w:szCs w:val="28"/>
          <w:rtl w:val="0"/>
        </w:rPr>
        <w:t xml:space="preserve"> plantea una solución tecnológica viable con un mercado objetivo bien definido en el sector de la telemedicina. Su fundamentación teórica sobre las estructuras empresariales es robusta y correcta. Sin embargo, para cumplir cabalmente con los objetivos de control de proyectos, es necesario que el grupo evolucione de la definición conceptual de la empresa a la planificación operativa de la misma, detallando cómo se gestionarán los recursos y costos para materializar la plataforma propuesta.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7.9006290435791" w:lineRule="auto"/>
        <w:ind w:left="0" w:right="244.320068359375"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76.4799499511719" w:top="583.199462890625" w:left="1699.1999816894531" w:right="140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