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  <w:t>整定计算业建整理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2766695" cy="5588635"/>
            <wp:effectExtent l="0" t="0" r="0" b="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rcRect l="30992" t="18125" r="59555" b="2635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  <w:t>（1）已知参数（用户填写）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S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smax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最大运行方式下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系统短路容量，MVA；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S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sm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in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最小运行方式下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系统短路容量，MVA；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L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：电源线路电缆的长度，km；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：电源线路架空线的长度，km；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电缆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：电源线路电缆的实际单位阻抗，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/km；X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电缆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0.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08；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架空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：电源线路架空线的实际单位阻抗，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/km；X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架空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=0.4；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n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受电柜的电流互感器变比；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馈出柜的电流互感器变比；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U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n1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变压器的高压侧额定电压，kV；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U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变压器的低压侧额定电压，kV；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S</w:t>
      </w:r>
      <w:r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：变压器容量，MVA；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238125" cy="133350"/>
            <wp:effectExtent l="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：变压器的阻抗电压百分值；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  <w:t>（2）先计算这些参数（作为中间变量，用作调用）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24"/>
          <w:sz w:val="21"/>
          <w:szCs w:val="21"/>
          <w:vertAlign w:val="baseline"/>
          <w:lang w:val="en-US" w:eastAsia="zh-CN"/>
        </w:rPr>
        <w:object>
          <v:shape id="_x0000_i1025" o:spt="75" type="#_x0000_t75" style="height:31pt;width:7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（S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=100MVA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*s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:最大运行方式下的系统阻抗标幺值）；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24"/>
          <w:sz w:val="21"/>
          <w:szCs w:val="21"/>
          <w:vertAlign w:val="baseline"/>
          <w:lang w:val="en-US" w:eastAsia="zh-CN"/>
        </w:rPr>
        <w:object>
          <v:shape id="_x0000_i1026" o:spt="75" type="#_x0000_t75" style="height:31pt;width:7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（S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=100MVA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*s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 xml:space="preserve"> min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:最大运行方式下的系统阻抗标幺值）；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32"/>
          <w:sz w:val="21"/>
          <w:szCs w:val="21"/>
          <w:vertAlign w:val="baseline"/>
          <w:lang w:val="en-US" w:eastAsia="zh-CN"/>
        </w:rPr>
        <w:object>
          <v:shape id="_x0000_i1037" o:spt="75" type="#_x0000_t75" style="height:35pt;width:1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</w:t>
      </w:r>
      <w:r>
        <w:rPr>
          <w:rFonts w:hint="eastAsia" w:ascii="Times New Roman" w:hAnsi="Times New Roman" w:cs="Times New Roman" w:eastAsiaTheme="minorEastAsia"/>
          <w:i/>
          <w:iCs/>
          <w:sz w:val="21"/>
          <w:szCs w:val="21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i w:val="0"/>
          <w:i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电源线路电缆阻抗标幺值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32"/>
          <w:sz w:val="21"/>
          <w:szCs w:val="21"/>
          <w:vertAlign w:val="baseline"/>
          <w:lang w:val="en-US" w:eastAsia="zh-CN"/>
        </w:rPr>
        <w:object>
          <v:shape id="_x0000_i1038" o:spt="75" alt="" type="#_x0000_t75" style="height:35pt;width:1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</w:t>
      </w:r>
      <w:r>
        <w:rPr>
          <w:rFonts w:hint="eastAsia" w:ascii="Times New Roman" w:hAnsi="Times New Roman" w:cs="Times New Roman" w:eastAsiaTheme="minorEastAsia"/>
          <w:i/>
          <w:iCs/>
          <w:sz w:val="21"/>
          <w:szCs w:val="21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i w:val="0"/>
          <w:i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电源线路架空线阻抗标幺值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24"/>
          <w:sz w:val="21"/>
          <w:szCs w:val="21"/>
          <w:vertAlign w:val="baseline"/>
          <w:lang w:val="en-US" w:eastAsia="zh-CN"/>
        </w:rPr>
        <w:object>
          <v:shape id="_x0000_i1027" o:spt="75" alt="" type="#_x0000_t75" style="height:31pt;width:7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（S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=100MVA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*T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变压器的阻抗标幺值）；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6"/>
          <w:sz w:val="21"/>
          <w:szCs w:val="21"/>
          <w:vertAlign w:val="baseline"/>
          <w:lang w:val="en-US" w:eastAsia="zh-CN"/>
        </w:rPr>
        <w:object>
          <v:shape id="_x0000_i1028" o:spt="75" alt="" type="#_x0000_t75" style="height:13.95pt;width:1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最大运行方式下阻抗标幺值）；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6"/>
          <w:sz w:val="21"/>
          <w:szCs w:val="21"/>
          <w:vertAlign w:val="baseline"/>
          <w:lang w:val="en-US" w:eastAsia="zh-CN"/>
        </w:rPr>
        <w:object>
          <v:shape id="_x0000_i1029" o:spt="75" alt="" type="#_x0000_t75" style="height:13.95pt;width:16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*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min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最大运行方式下阻抗标幺值）；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28"/>
          <w:sz w:val="21"/>
          <w:szCs w:val="21"/>
          <w:vertAlign w:val="baseline"/>
          <w:lang w:val="en-US" w:eastAsia="zh-CN"/>
        </w:rPr>
        <w:object>
          <v:shape id="_x0000_i1035" o:spt="75" type="#_x0000_t75" style="height:33pt;width:60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；（I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：变压器一次侧额定电流）；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28"/>
          <w:sz w:val="21"/>
          <w:szCs w:val="21"/>
          <w:vertAlign w:val="baseline"/>
          <w:lang w:val="en-US" w:eastAsia="zh-CN"/>
        </w:rPr>
        <w:object>
          <v:shape id="_x0000_i1036" o:spt="75" type="#_x0000_t75" style="height:33pt;width:6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；（I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2r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：变压器二次侧额定电流）；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30" o:spt="75" alt="" type="#_x0000_t75" style="height:41pt;width:13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0" DrawAspect="Content" ObjectID="_1468075734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perscript"/>
          <w:lang w:val="en-US" w:eastAsia="zh-CN"/>
        </w:rPr>
        <w:t>’’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2k，m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ax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：最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大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运行方式下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变压器低压侧母线三相短路时流过高压侧的电流初始值；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31" o:spt="75" alt="" type="#_x0000_t75" style="height:41pt;width:18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1" DrawAspect="Content" ObjectID="_1468075735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perscript"/>
          <w:lang w:val="en-US" w:eastAsia="zh-CN"/>
        </w:rPr>
        <w:t>’’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k2，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min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：最小运行方式下保护装置安装处两相短路电流初始值；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32" o:spt="75" alt="" type="#_x0000_t75" style="height:41pt;width:17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2" DrawAspect="Content" ObjectID="_1468075736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22k2，min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：最小运行方式下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变压器低压侧母线末端两相稳态短路电流；）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1"/>
          <w:szCs w:val="21"/>
          <w:vertAlign w:val="baseline"/>
          <w:lang w:val="en-US" w:eastAsia="zh-CN"/>
        </w:rPr>
        <w:object>
          <v:shape id="_x0000_i1034" o:spt="75" type="#_x0000_t75" style="height:33pt;width: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3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1"/>
          <w:szCs w:val="21"/>
          <w:vertAlign w:val="subscript"/>
          <w:lang w:val="en-US" w:eastAsia="zh-CN"/>
        </w:rPr>
        <w:t>2k2，min</w:t>
      </w:r>
      <w:r>
        <w:rPr>
          <w:rFonts w:hint="eastAsia" w:ascii="Times New Roman" w:hAnsi="Times New Roman" w:cs="Times New Roman" w:eastAsiaTheme="minorEastAsia"/>
          <w:sz w:val="21"/>
          <w:szCs w:val="21"/>
          <w:vertAlign w:val="baseline"/>
          <w:lang w:val="en-US" w:eastAsia="zh-CN"/>
        </w:rPr>
        <w:t>：最小运行方式下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变压器低压侧两相短路时，流过高压侧的稳态电流；）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  <w:t>（3）整定计算（出计算书）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馈出一：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过负荷保护：</w:t>
      </w:r>
      <w:r>
        <w:rPr>
          <w:rFonts w:hint="eastAsia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43" o:spt="75" type="#_x0000_t75" style="height:31pt;width:191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时间t：10s；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灵敏度系数：无。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过电流保护：</w:t>
      </w:r>
      <w:r>
        <w:rPr>
          <w:rFonts w:hint="eastAsia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45" o:spt="75" alt="" type="#_x0000_t75" style="height:31pt;width:1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34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时间t：0.5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灵敏度系数：</w:t>
      </w:r>
      <w:r>
        <w:rPr>
          <w:rFonts w:hint="eastAsia" w:ascii="Times New Roman" w:hAnsi="Times New Roman" w:cs="Times New Roman"/>
          <w:position w:val="-8"/>
          <w:sz w:val="21"/>
          <w:szCs w:val="21"/>
          <w:vertAlign w:val="baseline"/>
          <w:lang w:val="en-US" w:eastAsia="zh-CN"/>
        </w:rPr>
        <w:object>
          <v:shape id="_x0000_i1046" o:spt="75" type="#_x0000_t75" style="height:15pt;width:116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。验证需要满足</w:t>
      </w:r>
      <w:r>
        <w:rPr>
          <w:rFonts w:hint="default" w:ascii="Arial" w:hAnsi="Arial" w:cs="Arial"/>
          <w:sz w:val="21"/>
          <w:szCs w:val="21"/>
          <w:vertAlign w:val="baseline"/>
          <w:lang w:val="en-US" w:eastAsia="zh-CN"/>
        </w:rPr>
        <w:t>≥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1.3；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电流速断保护：</w:t>
      </w:r>
      <w:r>
        <w:rPr>
          <w:rFonts w:hint="eastAsia" w:ascii="Times New Roman" w:hAnsi="Times New Roman" w:cs="Times New Roman"/>
          <w:position w:val="-24"/>
          <w:sz w:val="21"/>
          <w:szCs w:val="21"/>
          <w:vertAlign w:val="baseline"/>
          <w:lang w:val="en-US" w:eastAsia="zh-CN"/>
        </w:rPr>
        <w:object>
          <v:shape id="_x0000_i1049" o:spt="75" alt="" type="#_x0000_t75" style="height:31pt;width:1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9" DrawAspect="Content" ObjectID="_1468075741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时间t：0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灵敏度系数：</w:t>
      </w:r>
      <w:r>
        <w:rPr>
          <w:rFonts w:hint="eastAsia" w:ascii="Times New Roman" w:hAnsi="Times New Roman" w:cs="Times New Roman"/>
          <w:position w:val="-8"/>
          <w:sz w:val="21"/>
          <w:szCs w:val="21"/>
          <w:vertAlign w:val="baseline"/>
          <w:lang w:val="en-US" w:eastAsia="zh-CN"/>
        </w:rPr>
        <w:object>
          <v:shape id="_x0000_i1050" o:spt="75" alt="" type="#_x0000_t75" style="height:15pt;width:12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2" r:id="rId4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。验证需要满足</w:t>
      </w:r>
      <w:r>
        <w:rPr>
          <w:rFonts w:hint="default" w:ascii="Arial" w:hAnsi="Arial" w:cs="Arial"/>
          <w:sz w:val="21"/>
          <w:szCs w:val="21"/>
          <w:vertAlign w:val="baseline"/>
          <w:lang w:val="en-US" w:eastAsia="zh-CN"/>
        </w:rPr>
        <w:t>≥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1.5；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  <w:t>计算书的格式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2" w:firstLineChars="200"/>
        <w:textAlignment w:val="auto"/>
        <w:outlineLvl w:val="9"/>
        <w:rPr>
          <w:rFonts w:hint="eastAsia" w:ascii="Times New Roman" w:hAnsi="Times New Roman" w:cs="Times New Roman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00721"/>
    <w:multiLevelType w:val="singleLevel"/>
    <w:tmpl w:val="D7B0072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482E"/>
    <w:rsid w:val="009F50D0"/>
    <w:rsid w:val="01B7687B"/>
    <w:rsid w:val="0225453D"/>
    <w:rsid w:val="02627878"/>
    <w:rsid w:val="031A31D4"/>
    <w:rsid w:val="032042A3"/>
    <w:rsid w:val="03514078"/>
    <w:rsid w:val="039103BC"/>
    <w:rsid w:val="040B3ED8"/>
    <w:rsid w:val="042006FB"/>
    <w:rsid w:val="04742DC0"/>
    <w:rsid w:val="063D0A75"/>
    <w:rsid w:val="06DE39A9"/>
    <w:rsid w:val="06F10BAE"/>
    <w:rsid w:val="075E1273"/>
    <w:rsid w:val="076D3870"/>
    <w:rsid w:val="08E347F7"/>
    <w:rsid w:val="096C5C89"/>
    <w:rsid w:val="09F74E99"/>
    <w:rsid w:val="0BB77171"/>
    <w:rsid w:val="0C6C60F5"/>
    <w:rsid w:val="0D050960"/>
    <w:rsid w:val="0DD8612D"/>
    <w:rsid w:val="0F6044CD"/>
    <w:rsid w:val="11727143"/>
    <w:rsid w:val="11E429B3"/>
    <w:rsid w:val="120E30D7"/>
    <w:rsid w:val="13302EE8"/>
    <w:rsid w:val="137C4CDB"/>
    <w:rsid w:val="14BA4CED"/>
    <w:rsid w:val="153C6346"/>
    <w:rsid w:val="15525F9B"/>
    <w:rsid w:val="169825E2"/>
    <w:rsid w:val="16D00642"/>
    <w:rsid w:val="175775AE"/>
    <w:rsid w:val="17614247"/>
    <w:rsid w:val="184F4CDC"/>
    <w:rsid w:val="1E732FD1"/>
    <w:rsid w:val="1ED23198"/>
    <w:rsid w:val="1FAA15B2"/>
    <w:rsid w:val="20107A16"/>
    <w:rsid w:val="20B83212"/>
    <w:rsid w:val="21B4224B"/>
    <w:rsid w:val="22FB333A"/>
    <w:rsid w:val="23DC1232"/>
    <w:rsid w:val="25E71512"/>
    <w:rsid w:val="26264F60"/>
    <w:rsid w:val="264316D1"/>
    <w:rsid w:val="27876EE3"/>
    <w:rsid w:val="278D3640"/>
    <w:rsid w:val="28BA24FF"/>
    <w:rsid w:val="2A0E74E3"/>
    <w:rsid w:val="2A3907D9"/>
    <w:rsid w:val="2BBA2D99"/>
    <w:rsid w:val="2C0E5C79"/>
    <w:rsid w:val="2D817B74"/>
    <w:rsid w:val="2DAD5224"/>
    <w:rsid w:val="2E0E5260"/>
    <w:rsid w:val="311D2C6F"/>
    <w:rsid w:val="323D509D"/>
    <w:rsid w:val="32561B28"/>
    <w:rsid w:val="32695A29"/>
    <w:rsid w:val="326B2806"/>
    <w:rsid w:val="32972EE4"/>
    <w:rsid w:val="32F63C68"/>
    <w:rsid w:val="373E6792"/>
    <w:rsid w:val="37502F43"/>
    <w:rsid w:val="3B70285F"/>
    <w:rsid w:val="3C651382"/>
    <w:rsid w:val="3D207CD1"/>
    <w:rsid w:val="3F5D26E4"/>
    <w:rsid w:val="3FFD09F0"/>
    <w:rsid w:val="408C564A"/>
    <w:rsid w:val="412F1B14"/>
    <w:rsid w:val="42716B3D"/>
    <w:rsid w:val="4303087A"/>
    <w:rsid w:val="444B1C4D"/>
    <w:rsid w:val="44811723"/>
    <w:rsid w:val="4571621C"/>
    <w:rsid w:val="45CF32B1"/>
    <w:rsid w:val="45D052B7"/>
    <w:rsid w:val="47453908"/>
    <w:rsid w:val="487337FC"/>
    <w:rsid w:val="48D822C7"/>
    <w:rsid w:val="492F04F5"/>
    <w:rsid w:val="4BBF3533"/>
    <w:rsid w:val="4BD142B8"/>
    <w:rsid w:val="4C81246B"/>
    <w:rsid w:val="4D9252B3"/>
    <w:rsid w:val="4DC068D5"/>
    <w:rsid w:val="4E1877FF"/>
    <w:rsid w:val="4F170EDD"/>
    <w:rsid w:val="517F3A31"/>
    <w:rsid w:val="52E037DF"/>
    <w:rsid w:val="53F81FDA"/>
    <w:rsid w:val="54C36FE2"/>
    <w:rsid w:val="55520FF0"/>
    <w:rsid w:val="562B66FE"/>
    <w:rsid w:val="56541644"/>
    <w:rsid w:val="56E7738D"/>
    <w:rsid w:val="58562B96"/>
    <w:rsid w:val="59A25817"/>
    <w:rsid w:val="5AAA4B4F"/>
    <w:rsid w:val="5B9E4E9B"/>
    <w:rsid w:val="5C8E7F5B"/>
    <w:rsid w:val="5CDD2CAD"/>
    <w:rsid w:val="5D280A98"/>
    <w:rsid w:val="5D5C5F5C"/>
    <w:rsid w:val="5FCE4D14"/>
    <w:rsid w:val="602C0116"/>
    <w:rsid w:val="603549C3"/>
    <w:rsid w:val="61D75652"/>
    <w:rsid w:val="62B447F9"/>
    <w:rsid w:val="62C41ACC"/>
    <w:rsid w:val="633917F4"/>
    <w:rsid w:val="63FF1C6E"/>
    <w:rsid w:val="64C124B1"/>
    <w:rsid w:val="651D2E5B"/>
    <w:rsid w:val="6558176D"/>
    <w:rsid w:val="658C0FE5"/>
    <w:rsid w:val="690D1592"/>
    <w:rsid w:val="695A7B16"/>
    <w:rsid w:val="6B35642C"/>
    <w:rsid w:val="6E9835B0"/>
    <w:rsid w:val="70455004"/>
    <w:rsid w:val="70467FF7"/>
    <w:rsid w:val="71392994"/>
    <w:rsid w:val="71F87D70"/>
    <w:rsid w:val="722901F8"/>
    <w:rsid w:val="73397052"/>
    <w:rsid w:val="73B101CE"/>
    <w:rsid w:val="74150A71"/>
    <w:rsid w:val="74445A24"/>
    <w:rsid w:val="755402DE"/>
    <w:rsid w:val="75AB0A64"/>
    <w:rsid w:val="75B82471"/>
    <w:rsid w:val="75B869EB"/>
    <w:rsid w:val="76446BD2"/>
    <w:rsid w:val="76865EC0"/>
    <w:rsid w:val="77122001"/>
    <w:rsid w:val="781303A9"/>
    <w:rsid w:val="79AD01A9"/>
    <w:rsid w:val="7A1A2362"/>
    <w:rsid w:val="7A227237"/>
    <w:rsid w:val="7A744B7D"/>
    <w:rsid w:val="7AA34197"/>
    <w:rsid w:val="7B4B6187"/>
    <w:rsid w:val="7D9722C4"/>
    <w:rsid w:val="7E8A3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wmf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於晶晶</cp:lastModifiedBy>
  <dcterms:modified xsi:type="dcterms:W3CDTF">2019-10-25T06:48:05Z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