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주민등록인구</w:t>
        <w:br w:type="textWrapping"/>
        <w:t xml:space="preserve">1) 연령별  인구현황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링크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https://data.seoul.go.kr/dataList/datasetView.do?infId=10738&amp;srvType=S&amp;serviceKind=2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연도값 산출 방법 : 연초와 연말 인구의 산술평균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5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2) 세대원수별 세대수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링크 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http://27.101.213.4/index.jsp#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서울시 사업체현황(2017년)_동별_사업체별</w:t>
      </w:r>
    </w:p>
    <w:p w:rsidR="00000000" w:rsidDel="00000000" w:rsidP="00000000" w:rsidRDefault="00000000" w:rsidRPr="00000000" w14:paraId="0000000B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http://data.seoul.go.kr/dataList/datasetView.do?infId=104&amp;srvType=S&amp;serviceKind=2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.seoul.go.kr/dataList/datasetView.do?infId=104&amp;srvType=S&amp;serviceKind=2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seoul.go.kr/dataList/datasetView.do?infId=10738&amp;srvType=S&amp;serviceKind=2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27.101.213.4/index.jsp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