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D1" w:rsidRDefault="00947230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  <w:lang w:eastAsia="zh-CN"/>
        </w:rPr>
      </w:pPr>
      <w:bookmarkStart w:id="0" w:name="OLE_LINK3"/>
      <w:r>
        <w:rPr>
          <w:rFonts w:ascii="Arial" w:eastAsia="黑体" w:hAnsi="Arial" w:cs="Arial" w:hint="eastAsia"/>
          <w:b/>
          <w:sz w:val="32"/>
          <w:szCs w:val="32"/>
          <w:lang w:eastAsia="zh-CN"/>
        </w:rPr>
        <w:t>功能基因高通量定量方法</w:t>
      </w:r>
    </w:p>
    <w:bookmarkEnd w:id="0"/>
    <w:p w:rsidR="00404BD1" w:rsidRPr="00A62356" w:rsidRDefault="00947230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 w:rsidRPr="00A62356">
        <w:rPr>
          <w:rFonts w:ascii="Arial" w:eastAsia="黑体" w:hAnsi="Arial" w:cs="Arial" w:hint="eastAsia"/>
          <w:b/>
          <w:sz w:val="24"/>
          <w:szCs w:val="24"/>
          <w:lang w:eastAsia="zh-CN"/>
        </w:rPr>
        <w:t>High-Throughput qPCR Assays for Functional Genes</w:t>
      </w:r>
    </w:p>
    <w:p w:rsidR="00404BD1" w:rsidRDefault="00947230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  <w:lang w:eastAsia="zh-CN"/>
        </w:rPr>
        <w:t>安新丽</w:t>
      </w:r>
      <w:r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1</w:t>
      </w:r>
      <w:r>
        <w:rPr>
          <w:rFonts w:ascii="Arial" w:hAnsi="Arial" w:cs="Arial" w:hint="eastAsia"/>
          <w:color w:val="000000"/>
          <w:sz w:val="24"/>
          <w:lang w:eastAsia="zh-CN"/>
        </w:rPr>
        <w:t>，栗利娟</w:t>
      </w:r>
      <w:r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1, 3</w:t>
      </w:r>
      <w:r>
        <w:rPr>
          <w:rFonts w:ascii="Arial" w:hAnsi="Arial" w:cs="Arial" w:hint="eastAsia"/>
          <w:color w:val="000000"/>
          <w:sz w:val="24"/>
          <w:lang w:eastAsia="zh-CN"/>
        </w:rPr>
        <w:t>，周昕原</w:t>
      </w:r>
      <w:bookmarkStart w:id="1" w:name="OLE_LINK20"/>
      <w:bookmarkStart w:id="2" w:name="OLE_LINK21"/>
      <w:r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1, 3</w:t>
      </w:r>
      <w:bookmarkEnd w:id="1"/>
      <w:bookmarkEnd w:id="2"/>
      <w:r>
        <w:rPr>
          <w:rFonts w:ascii="Arial" w:hAnsi="Arial" w:cs="Arial" w:hint="eastAsia"/>
          <w:color w:val="000000"/>
          <w:sz w:val="24"/>
          <w:lang w:eastAsia="zh-CN"/>
        </w:rPr>
        <w:t>，黄福义</w:t>
      </w:r>
      <w:r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1, 3</w:t>
      </w:r>
      <w:r>
        <w:rPr>
          <w:rFonts w:ascii="Arial" w:hAnsi="Arial" w:cs="Arial" w:hint="eastAsia"/>
          <w:color w:val="000000"/>
          <w:sz w:val="24"/>
          <w:lang w:eastAsia="zh-CN"/>
        </w:rPr>
        <w:t>，朱永官</w:t>
      </w:r>
      <w:r>
        <w:rPr>
          <w:rFonts w:ascii="Arial" w:hAnsi="Arial" w:cs="Arial"/>
          <w:color w:val="000000"/>
          <w:sz w:val="24"/>
          <w:vertAlign w:val="superscript"/>
          <w:lang w:eastAsia="zh-CN"/>
        </w:rPr>
        <w:t>1, 2</w:t>
      </w:r>
      <w:r>
        <w:rPr>
          <w:rFonts w:ascii="Arial" w:hAnsi="Arial" w:cs="Arial" w:hint="eastAsia"/>
          <w:color w:val="000000"/>
          <w:sz w:val="24"/>
          <w:lang w:eastAsia="zh-CN"/>
        </w:rPr>
        <w:t>，苏建强</w:t>
      </w:r>
      <w:r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1,</w:t>
      </w:r>
      <w:r>
        <w:rPr>
          <w:rFonts w:ascii="Arial" w:eastAsia="Malgun Gothic" w:hAnsi="Arial" w:cs="Arial"/>
          <w:color w:val="000000"/>
          <w:sz w:val="24"/>
          <w:vertAlign w:val="superscript"/>
        </w:rPr>
        <w:t>*</w:t>
      </w:r>
    </w:p>
    <w:p w:rsidR="00404BD1" w:rsidRDefault="00404BD1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</w:p>
    <w:p w:rsidR="00404BD1" w:rsidRDefault="00947230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/>
          <w:szCs w:val="20"/>
          <w:lang w:eastAsia="zh-CN"/>
        </w:rPr>
      </w:pPr>
      <w:r>
        <w:rPr>
          <w:rFonts w:ascii="Arial" w:hAnsi="Arial" w:cs="Arial" w:hint="eastAsia"/>
          <w:color w:val="000000"/>
          <w:szCs w:val="20"/>
          <w:vertAlign w:val="superscript"/>
          <w:lang w:eastAsia="zh-CN"/>
        </w:rPr>
        <w:t>1</w:t>
      </w:r>
      <w:r>
        <w:rPr>
          <w:rFonts w:ascii="Arial" w:hAnsi="Arial" w:cs="Arial"/>
          <w:color w:val="000000"/>
          <w:szCs w:val="20"/>
          <w:lang w:eastAsia="zh-CN"/>
        </w:rPr>
        <w:t>城市环境与健康重点实验室</w:t>
      </w:r>
      <w:r>
        <w:rPr>
          <w:rFonts w:ascii="Arial" w:hAnsi="Arial" w:cs="Arial" w:hint="eastAsia"/>
          <w:color w:val="000000"/>
          <w:szCs w:val="20"/>
          <w:lang w:eastAsia="zh-CN"/>
        </w:rPr>
        <w:t>，中国科学院城市环境研究所，厦门，福建</w:t>
      </w:r>
      <w:r>
        <w:rPr>
          <w:rFonts w:ascii="Arial" w:hAnsi="Arial" w:cs="Arial"/>
          <w:color w:val="000000"/>
          <w:szCs w:val="20"/>
          <w:lang w:eastAsia="zh-CN"/>
        </w:rPr>
        <w:t>省</w:t>
      </w:r>
      <w:r>
        <w:rPr>
          <w:rFonts w:ascii="Arial" w:hAnsi="Arial" w:cs="Arial" w:hint="eastAsia"/>
          <w:color w:val="000000"/>
          <w:szCs w:val="20"/>
          <w:lang w:eastAsia="zh-CN"/>
        </w:rPr>
        <w:t>；</w:t>
      </w:r>
      <w:r>
        <w:rPr>
          <w:rFonts w:ascii="Arial" w:hAnsi="Arial" w:cs="Arial"/>
          <w:color w:val="000000"/>
          <w:szCs w:val="20"/>
          <w:vertAlign w:val="superscript"/>
          <w:lang w:eastAsia="zh-CN"/>
        </w:rPr>
        <w:t>2</w:t>
      </w:r>
      <w:r>
        <w:rPr>
          <w:rFonts w:ascii="Arial" w:hAnsi="Arial" w:cs="Arial"/>
          <w:color w:val="000000"/>
          <w:szCs w:val="20"/>
          <w:lang w:eastAsia="zh-CN"/>
        </w:rPr>
        <w:t>城市与区域生态国家重点实验室</w:t>
      </w:r>
      <w:r>
        <w:rPr>
          <w:rFonts w:ascii="Arial" w:hAnsi="Arial" w:cs="Arial" w:hint="eastAsia"/>
          <w:color w:val="000000"/>
          <w:szCs w:val="20"/>
          <w:lang w:eastAsia="zh-CN"/>
        </w:rPr>
        <w:t>，</w:t>
      </w:r>
      <w:r>
        <w:rPr>
          <w:rFonts w:ascii="Arial" w:hAnsi="Arial" w:cs="Arial"/>
          <w:color w:val="000000"/>
          <w:szCs w:val="20"/>
          <w:lang w:eastAsia="zh-CN"/>
        </w:rPr>
        <w:t>中国科学院生态研究中心</w:t>
      </w:r>
      <w:r>
        <w:rPr>
          <w:rFonts w:ascii="Arial" w:hAnsi="Arial" w:cs="Arial" w:hint="eastAsia"/>
          <w:color w:val="000000"/>
          <w:szCs w:val="20"/>
          <w:lang w:eastAsia="zh-CN"/>
        </w:rPr>
        <w:t>，北京；</w:t>
      </w:r>
      <w:r>
        <w:rPr>
          <w:rFonts w:ascii="Arial" w:hAnsi="Arial" w:cs="Arial" w:hint="eastAsia"/>
          <w:color w:val="000000"/>
          <w:szCs w:val="20"/>
          <w:vertAlign w:val="superscript"/>
          <w:lang w:eastAsia="zh-CN"/>
        </w:rPr>
        <w:t>3</w:t>
      </w:r>
      <w:r>
        <w:rPr>
          <w:rFonts w:ascii="Arial" w:hAnsi="Arial" w:cs="Arial" w:hint="eastAsia"/>
          <w:color w:val="000000"/>
          <w:szCs w:val="20"/>
          <w:lang w:eastAsia="zh-CN"/>
        </w:rPr>
        <w:t>中国科学院大学，北京</w:t>
      </w:r>
    </w:p>
    <w:p w:rsidR="00404BD1" w:rsidRDefault="00947230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>
        <w:rPr>
          <w:rFonts w:ascii="Arial" w:hAnsi="Arial" w:cs="Arial" w:hint="eastAsia"/>
          <w:szCs w:val="20"/>
          <w:lang w:eastAsia="zh-CN"/>
        </w:rPr>
        <w:t>*</w:t>
      </w:r>
      <w:r>
        <w:rPr>
          <w:rFonts w:ascii="Arial" w:hAnsi="Arial" w:cs="Arial"/>
          <w:color w:val="000000"/>
          <w:szCs w:val="20"/>
          <w:lang w:eastAsia="zh-CN"/>
        </w:rPr>
        <w:t>通讯作者邮箱</w:t>
      </w:r>
      <w:r>
        <w:rPr>
          <w:rFonts w:ascii="Arial" w:hAnsi="Arial" w:cs="Arial" w:hint="eastAsia"/>
          <w:color w:val="000000"/>
          <w:szCs w:val="20"/>
          <w:lang w:eastAsia="zh-CN"/>
        </w:rPr>
        <w:t>：</w:t>
      </w:r>
      <w:r>
        <w:rPr>
          <w:rStyle w:val="aff1"/>
          <w:rFonts w:ascii="Arial" w:hAnsi="Arial" w:cs="Arial" w:hint="eastAsia"/>
          <w:sz w:val="21"/>
          <w:lang w:eastAsia="zh-CN"/>
        </w:rPr>
        <w:t>jqsu@iue.ac.cn</w:t>
      </w:r>
    </w:p>
    <w:p w:rsidR="00404BD1" w:rsidRDefault="00404BD1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Arial"/>
          <w:b/>
          <w:color w:val="000000"/>
          <w:sz w:val="24"/>
          <w:lang w:eastAsia="zh-CN"/>
        </w:rPr>
      </w:pPr>
    </w:p>
    <w:p w:rsidR="00404BD1" w:rsidRDefault="00947230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>
        <w:rPr>
          <w:rFonts w:ascii="Arial" w:eastAsia="黑体" w:hAnsi="Arial" w:cs="Arial"/>
          <w:b/>
          <w:color w:val="000000"/>
          <w:sz w:val="24"/>
          <w:lang w:eastAsia="zh-CN"/>
        </w:rPr>
        <w:t>摘要</w:t>
      </w:r>
      <w:r>
        <w:rPr>
          <w:rFonts w:ascii="Arial" w:eastAsia="黑体" w:hAnsi="Arial" w:cs="Arial" w:hint="eastAsia"/>
          <w:b/>
          <w:color w:val="000000"/>
          <w:sz w:val="24"/>
          <w:lang w:eastAsia="zh-CN"/>
        </w:rPr>
        <w:t>：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高通量定量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PCR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的原理是在模板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DNA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的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PCR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反应体系中加入荧</w:t>
      </w:r>
      <w:r w:rsidR="002F7EB4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光基团，进行高温变性，低温复性，适温延伸的热循环聚合酶链式反应。高通量定量</w:t>
      </w:r>
      <w:r w:rsidR="002F7EB4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PCR</w:t>
      </w:r>
      <w:r w:rsidR="002F7EB4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包括染料法和探针法，其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通过荧光信号实时监测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PCR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反应进程，实现荧光信号积累与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PCR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产物形成同步，</w:t>
      </w:r>
      <w:r w:rsidR="002F7EB4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进而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求得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Ct</w:t>
      </w:r>
      <w:r w:rsidR="002F7EB4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值，获得扩增曲线和溶解曲线。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同时利用已</w:t>
      </w:r>
      <w:r w:rsidR="002F7EB4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知模板浓度的标准品</w:t>
      </w:r>
      <w:proofErr w:type="gramStart"/>
      <w:r w:rsidR="002F7EB4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做对</w:t>
      </w:r>
      <w:proofErr w:type="gramEnd"/>
      <w:r w:rsidR="002F7EB4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照，进而获得未知样本目的基因拷贝数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Pr="007A2EC7">
        <w:rPr>
          <w:rFonts w:ascii="Arial" w:hAnsi="Arial" w:cs="Arial"/>
          <w:kern w:val="1"/>
          <w:sz w:val="24"/>
          <w:szCs w:val="24"/>
          <w:lang w:eastAsia="zh-CN"/>
        </w:rPr>
        <w:t>功能基因高通量定量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PCR</w:t>
      </w:r>
      <w:r w:rsidR="008A213D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方法是基于日本</w:t>
      </w:r>
      <w:r w:rsidR="008A213D"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TAKARA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公司</w:t>
      </w:r>
      <w:proofErr w:type="spellStart"/>
      <w:r w:rsidRPr="007A2EC7">
        <w:rPr>
          <w:rFonts w:ascii="Arial" w:hAnsi="Arial" w:cs="Arial"/>
          <w:kern w:val="1"/>
          <w:sz w:val="24"/>
          <w:szCs w:val="24"/>
          <w:lang w:eastAsia="zh-CN"/>
        </w:rPr>
        <w:t>SmartChip</w:t>
      </w:r>
      <w:proofErr w:type="spellEnd"/>
      <w:r w:rsidRPr="007A2EC7">
        <w:rPr>
          <w:rFonts w:ascii="Arial" w:hAnsi="Arial" w:cs="Arial"/>
          <w:kern w:val="1"/>
          <w:sz w:val="24"/>
          <w:szCs w:val="24"/>
          <w:lang w:eastAsia="zh-CN"/>
        </w:rPr>
        <w:t>微孔芯片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可进行高通量、高密度、纳升级别的实时定量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PCR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的方法。高通量定量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PCR</w:t>
      </w:r>
      <w:r w:rsidRPr="007A2EC7">
        <w:rPr>
          <w:rFonts w:ascii="Arial" w:hAnsi="Arial" w:cs="Arial" w:hint="eastAsia"/>
          <w:kern w:val="1"/>
          <w:sz w:val="24"/>
          <w:szCs w:val="24"/>
          <w:lang w:eastAsia="zh-CN"/>
        </w:rPr>
        <w:t>需要采用纳升级多样品自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动加样器将样品分配到微孔芯片上，并通过高密度实时定量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PCR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仪收集荧光信号，获得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Ct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值。微孔芯片一次运行可以进行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5184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个独立扩增反应，单孔反应体系仅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100 </w:t>
      </w:r>
      <w:proofErr w:type="spellStart"/>
      <w:r>
        <w:rPr>
          <w:rFonts w:ascii="Arial" w:hAnsi="Arial" w:cs="Arial" w:hint="eastAsia"/>
          <w:kern w:val="1"/>
          <w:sz w:val="24"/>
          <w:szCs w:val="24"/>
          <w:lang w:eastAsia="zh-CN"/>
        </w:rPr>
        <w:t>nL</w:t>
      </w:r>
      <w:proofErr w:type="spellEnd"/>
      <w:r>
        <w:rPr>
          <w:rFonts w:ascii="Arial" w:hAnsi="Arial" w:cs="Arial" w:hint="eastAsia"/>
          <w:kern w:val="1"/>
          <w:sz w:val="24"/>
          <w:szCs w:val="24"/>
          <w:lang w:eastAsia="zh-CN"/>
        </w:rPr>
        <w:t>，规避了以往传统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qPCR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方法的基因检测单一化、费用成本高和效率低等缺点。该方法具有高通量、低样本量、低成本、周期短、操作简单等优势，可广泛适用于各种环境样本，例如水体（湖泊、海洋、污水、地下水等）、土壤、植物、沉积物、粪便、气溶胶颗粒等样品的功能基因标志物的精确定量和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SNP</w:t>
      </w:r>
      <w:r>
        <w:rPr>
          <w:rFonts w:ascii="Arial" w:hAnsi="Arial" w:cs="Arial" w:hint="eastAsia"/>
          <w:kern w:val="1"/>
          <w:sz w:val="24"/>
          <w:szCs w:val="24"/>
          <w:lang w:eastAsia="zh-CN"/>
        </w:rPr>
        <w:t>基因分型等。</w:t>
      </w:r>
    </w:p>
    <w:p w:rsidR="00404BD1" w:rsidRDefault="00947230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sz w:val="24"/>
          <w:szCs w:val="24"/>
          <w:lang w:eastAsia="zh-CN"/>
        </w:rPr>
      </w:pPr>
      <w:r>
        <w:rPr>
          <w:rFonts w:ascii="Arial" w:eastAsia="黑体" w:hAnsi="Arial" w:cs="Arial"/>
          <w:b/>
          <w:color w:val="000000"/>
          <w:sz w:val="24"/>
          <w:lang w:eastAsia="zh-CN"/>
        </w:rPr>
        <w:t>关键词</w:t>
      </w:r>
      <w:r w:rsidR="009F52EC">
        <w:rPr>
          <w:rFonts w:ascii="Arial" w:eastAsiaTheme="majorEastAsia" w:hAnsi="Arial" w:cs="Arial" w:hint="eastAsia"/>
          <w:b/>
          <w:color w:val="000000"/>
          <w:szCs w:val="20"/>
          <w:lang w:eastAsia="zh-CN"/>
        </w:rPr>
        <w:t>：</w:t>
      </w:r>
      <w:r>
        <w:rPr>
          <w:rFonts w:ascii="Arial" w:eastAsiaTheme="majorEastAsia" w:hAnsi="Arial" w:cs="Arial" w:hint="eastAsia"/>
          <w:color w:val="000000"/>
          <w:sz w:val="24"/>
          <w:szCs w:val="24"/>
          <w:lang w:eastAsia="zh-CN"/>
        </w:rPr>
        <w:t>高通量荧光定量，标准曲线，绝对丰度，微孔芯片</w:t>
      </w:r>
      <w:r>
        <w:rPr>
          <w:rFonts w:ascii="Arial" w:eastAsiaTheme="majorEastAsia" w:hAnsi="Arial" w:cs="Arial"/>
          <w:color w:val="000000"/>
          <w:sz w:val="24"/>
          <w:szCs w:val="24"/>
          <w:lang w:eastAsia="zh-CN"/>
        </w:rPr>
        <w:t xml:space="preserve"> </w:t>
      </w:r>
    </w:p>
    <w:p w:rsidR="00404BD1" w:rsidRDefault="00404BD1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</w:pPr>
    </w:p>
    <w:p w:rsidR="00404BD1" w:rsidRPr="00A65254" w:rsidRDefault="00947230">
      <w:pPr>
        <w:wordWrap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 w:cs="黑体"/>
          <w:b/>
          <w:bCs/>
          <w:sz w:val="24"/>
          <w:szCs w:val="24"/>
          <w:lang w:eastAsia="zh-CN"/>
        </w:rPr>
        <w:t>材</w:t>
      </w:r>
      <w:r w:rsidRPr="00A65254">
        <w:rPr>
          <w:rFonts w:ascii="黑体" w:eastAsia="黑体" w:hAnsi="黑体" w:cs="黑体"/>
          <w:b/>
          <w:bCs/>
          <w:sz w:val="24"/>
          <w:szCs w:val="24"/>
          <w:lang w:eastAsia="zh-CN"/>
        </w:rPr>
        <w:t>料与试剂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各种型号吸头（</w:t>
      </w:r>
      <w:proofErr w:type="spellStart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Mettler</w:t>
      </w:r>
      <w:proofErr w:type="spellEnd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Toledo company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proofErr w:type="spellStart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Rainin</w:t>
      </w:r>
      <w:proofErr w:type="spellEnd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RC LTS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proofErr w:type="spellStart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SmartChip</w:t>
      </w:r>
      <w:proofErr w:type="spellEnd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MyDesign</w:t>
      </w:r>
      <w:proofErr w:type="spellEnd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Chip(s) 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Takara</w:t>
      </w:r>
      <w:r w:rsidRPr="00A65254">
        <w:rPr>
          <w:rFonts w:ascii="Arial" w:eastAsia="宋体" w:hAnsi="Arial" w:cs="Arial"/>
          <w:sz w:val="24"/>
          <w:szCs w:val="24"/>
        </w:rPr>
        <w:t xml:space="preserve"> 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Biomedical Technology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proofErr w:type="spellStart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Clontech</w:t>
      </w:r>
      <w:proofErr w:type="spellEnd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640032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384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方孔板和封板膜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Thermo Fisher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Thermo Scientific </w:t>
      </w:r>
      <w:proofErr w:type="spellStart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Nunc</w:t>
      </w:r>
      <w:proofErr w:type="spellEnd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264573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7A2EC7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无菌平底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96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孔板（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Thermo Fisher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Thermo S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cientific </w:t>
      </w:r>
      <w:proofErr w:type="spellStart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Nunc</w:t>
      </w:r>
      <w:proofErr w:type="spellEnd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174897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7A2EC7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proofErr w:type="spellStart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LightCycler</w:t>
      </w:r>
      <w:proofErr w:type="spellEnd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480 SYBR Green I Master 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Roche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4887352001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-20°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避光保存</w:t>
      </w:r>
      <w:r w:rsidR="00807E1E" w:rsidRPr="007A2EC7">
        <w:rPr>
          <w:rFonts w:ascii="Arial" w:eastAsia="宋体" w:hAnsi="Arial" w:cs="Arial" w:hint="eastAsia"/>
          <w:kern w:val="0"/>
          <w:sz w:val="24"/>
          <w:szCs w:val="24"/>
          <w:lang w:eastAsia="zh-CN"/>
        </w:rPr>
        <w:t>，</w:t>
      </w:r>
      <w:r w:rsidR="00807E1E"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lastRenderedPageBreak/>
        <w:t>保质期通常</w:t>
      </w:r>
      <w:r w:rsidR="00807E1E" w:rsidRPr="007A2EC7">
        <w:rPr>
          <w:rFonts w:ascii="Arial" w:eastAsia="宋体" w:hAnsi="Arial" w:cs="Arial" w:hint="eastAsia"/>
          <w:kern w:val="0"/>
          <w:sz w:val="24"/>
          <w:szCs w:val="24"/>
          <w:lang w:eastAsia="zh-CN"/>
        </w:rPr>
        <w:t>6</w:t>
      </w:r>
      <w:r w:rsidR="00807E1E" w:rsidRPr="007A2EC7">
        <w:rPr>
          <w:rFonts w:ascii="Arial" w:eastAsia="宋体" w:hAnsi="Arial" w:cs="Arial" w:hint="eastAsia"/>
          <w:kern w:val="0"/>
          <w:sz w:val="24"/>
          <w:szCs w:val="24"/>
          <w:lang w:eastAsia="zh-CN"/>
        </w:rPr>
        <w:t>个月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7A2EC7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High-Capacity cDNA Reverse Transcription Kit with RNase Inhibitor 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Life Technologies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4374966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bookmarkStart w:id="3" w:name="OLE_LINK13"/>
      <w:bookmarkStart w:id="4" w:name="OLE_LINK12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-20°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避光长期保存</w:t>
      </w:r>
      <w:bookmarkEnd w:id="3"/>
      <w:bookmarkEnd w:id="4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</w:p>
    <w:p w:rsidR="00404BD1" w:rsidRPr="007A2EC7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无核酸酶的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PCR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级水（任意供应商）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一次性无菌加样槽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Corning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Costar 4870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PCR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引物对及探针（任意供应商）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proofErr w:type="spellStart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TaqMan</w:t>
      </w:r>
      <w:proofErr w:type="spellEnd"/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® Gene Expression Master Mix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Life Technologies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4369016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4°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避光保存）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无核酸酶的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1X TE buffer pH 8.0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（任意供应商）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ROX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参比染料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(50X) 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Life Technologies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12223-012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牛血清蛋白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 xml:space="preserve">BSA 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（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Sigma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A1933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）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0.2 ml, 1.5 ml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和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2ml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离心管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（</w:t>
      </w:r>
      <w:proofErr w:type="spellStart"/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Axygen</w:t>
      </w:r>
      <w:proofErr w:type="spellEnd"/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MCT-150-C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MCT-200-C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）</w:t>
      </w:r>
    </w:p>
    <w:p w:rsidR="00404BD1" w:rsidRPr="00A65254" w:rsidRDefault="00947230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Invitrogen Qubit dsDNA HS Assay (Thermo Fisher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bCs/>
          <w:sz w:val="24"/>
          <w:szCs w:val="24"/>
          <w:lang w:eastAsia="zh-CN"/>
        </w:rPr>
        <w:t>Invitrogen,Q32851)</w:t>
      </w:r>
    </w:p>
    <w:p w:rsidR="00404BD1" w:rsidRPr="00A65254" w:rsidRDefault="00404BD1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b/>
          <w:bCs/>
          <w:sz w:val="24"/>
          <w:szCs w:val="24"/>
          <w:lang w:eastAsia="zh-CN"/>
        </w:rPr>
      </w:pPr>
    </w:p>
    <w:p w:rsidR="00404BD1" w:rsidRPr="007A2EC7" w:rsidRDefault="00947230">
      <w:pPr>
        <w:wordWrap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 w:rsidRPr="007A2EC7">
        <w:rPr>
          <w:rFonts w:ascii="黑体" w:eastAsia="黑体" w:hAnsi="黑体" w:cs="黑体" w:hint="eastAsia"/>
          <w:b/>
          <w:bCs/>
          <w:sz w:val="24"/>
          <w:szCs w:val="24"/>
          <w:lang w:eastAsia="zh-CN"/>
        </w:rPr>
        <w:t>仪器设备</w:t>
      </w:r>
    </w:p>
    <w:p w:rsidR="00404BD1" w:rsidRPr="007A2EC7" w:rsidRDefault="00947230" w:rsidP="00B61214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proofErr w:type="spellStart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SmartChip</w:t>
      </w:r>
      <w:proofErr w:type="spellEnd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proofErr w:type="spellStart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Multisample</w:t>
      </w:r>
      <w:proofErr w:type="spellEnd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proofErr w:type="spellStart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Nanodispenser</w:t>
      </w:r>
      <w:proofErr w:type="spellEnd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="00B61214"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Takara Biomedical Technology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7A2EC7" w:rsidRDefault="00947230" w:rsidP="00B61214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proofErr w:type="spellStart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SmartChip</w:t>
      </w:r>
      <w:proofErr w:type="spellEnd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Cycler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="00B61214"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Takara Biomedical Technology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7A2EC7" w:rsidRDefault="00947230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离心机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Eppendorf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5424 R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5430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7A2EC7" w:rsidRDefault="00947230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荧光定量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PCR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仪（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Roche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LightCycler480II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7A2EC7" w:rsidRDefault="00947230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超纯水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（任意供应商）</w:t>
      </w:r>
    </w:p>
    <w:p w:rsidR="00404BD1" w:rsidRPr="007A2EC7" w:rsidRDefault="00947230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氮气瓶（任意供应商）</w:t>
      </w:r>
    </w:p>
    <w:p w:rsidR="00404BD1" w:rsidRPr="007A2EC7" w:rsidRDefault="00947230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proofErr w:type="gramStart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移液器</w:t>
      </w:r>
      <w:proofErr w:type="gramEnd"/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（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Eppendorf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3120000909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3122000035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3122000051</w:t>
      </w:r>
      <w:r w:rsidRPr="007A2EC7">
        <w:rPr>
          <w:rFonts w:ascii="Arial" w:eastAsia="宋体" w:hAnsi="Arial" w:cs="Arial"/>
          <w:kern w:val="0"/>
          <w:sz w:val="24"/>
          <w:szCs w:val="24"/>
          <w:lang w:eastAsia="zh-CN"/>
        </w:rPr>
        <w:t>）</w:t>
      </w:r>
    </w:p>
    <w:p w:rsidR="00404BD1" w:rsidRPr="00A65254" w:rsidRDefault="00947230">
      <w:pPr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sz w:val="24"/>
          <w:szCs w:val="24"/>
          <w:lang w:eastAsia="zh-CN"/>
        </w:rPr>
        <w:t>Vortex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蜗旋仪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（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Scientific Industries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Vortex-Ge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nie 2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SI-0246 (G560E)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）</w:t>
      </w:r>
    </w:p>
    <w:p w:rsidR="00404BD1" w:rsidRPr="00A65254" w:rsidRDefault="00947230">
      <w:pPr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Qubit 4.0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荧光定量仪（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Thermo Fisher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kern w:val="0"/>
          <w:sz w:val="24"/>
          <w:szCs w:val="24"/>
          <w:lang w:eastAsia="zh-CN"/>
        </w:rPr>
        <w:t>Q33226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）</w:t>
      </w:r>
    </w:p>
    <w:p w:rsidR="00404BD1" w:rsidRPr="00A65254" w:rsidRDefault="00404BD1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</w:p>
    <w:p w:rsidR="00404BD1" w:rsidRPr="00A65254" w:rsidRDefault="00947230">
      <w:pPr>
        <w:wordWrap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 w:rsidRPr="00A65254">
        <w:rPr>
          <w:rFonts w:ascii="黑体" w:eastAsia="黑体" w:hAnsi="黑体" w:cs="黑体"/>
          <w:b/>
          <w:bCs/>
          <w:sz w:val="24"/>
          <w:szCs w:val="24"/>
          <w:lang w:eastAsia="zh-CN"/>
        </w:rPr>
        <w:t>实验步骤</w:t>
      </w:r>
    </w:p>
    <w:p w:rsidR="00404BD1" w:rsidRPr="00A65254" w:rsidRDefault="00947230">
      <w:pPr>
        <w:numPr>
          <w:ilvl w:val="0"/>
          <w:numId w:val="5"/>
        </w:numPr>
        <w:adjustRightInd w:val="0"/>
        <w:snapToGrid w:val="0"/>
        <w:spacing w:line="360" w:lineRule="auto"/>
        <w:ind w:firstLine="0"/>
        <w:jc w:val="both"/>
        <w:rPr>
          <w:rFonts w:ascii="Arial" w:eastAsia="宋体" w:hAnsi="Arial" w:cs="Arial"/>
          <w:sz w:val="24"/>
          <w:szCs w:val="24"/>
        </w:rPr>
      </w:pPr>
      <w:r w:rsidRPr="00A65254">
        <w:rPr>
          <w:rFonts w:ascii="Arial" w:eastAsia="宋体" w:hAnsi="Arial" w:cs="Arial"/>
          <w:sz w:val="24"/>
          <w:szCs w:val="24"/>
        </w:rPr>
        <w:t>引物、探针和质粒的配制</w:t>
      </w:r>
    </w:p>
    <w:p w:rsidR="00404BD1" w:rsidRPr="00A65254" w:rsidRDefault="00947230">
      <w:pPr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</w:rPr>
        <w:t>模板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DNA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准备及</w:t>
      </w:r>
      <w:r w:rsidRPr="00A65254">
        <w:rPr>
          <w:rFonts w:ascii="Arial" w:eastAsia="宋体" w:hAnsi="Arial" w:cs="Arial"/>
          <w:sz w:val="24"/>
          <w:szCs w:val="24"/>
        </w:rPr>
        <w:t>质粒混标制备</w:t>
      </w:r>
    </w:p>
    <w:p w:rsidR="00404BD1" w:rsidRPr="007A2EC7" w:rsidRDefault="00947230">
      <w:pPr>
        <w:numPr>
          <w:ilvl w:val="1"/>
          <w:numId w:val="7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lastRenderedPageBreak/>
        <w:t>模板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DNA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样品采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用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Qubit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荧光定量仪检测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DNA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浓度，确保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DNA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浓度统一稀释为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 xml:space="preserve">20-50 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ng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/</w:t>
      </w:r>
      <w:proofErr w:type="spellStart"/>
      <w:r w:rsidRPr="007A2EC7">
        <w:rPr>
          <w:rFonts w:ascii="Arial" w:eastAsia="宋体" w:hAnsi="Arial" w:cs="Arial"/>
          <w:sz w:val="24"/>
          <w:szCs w:val="24"/>
        </w:rPr>
        <w:t>μl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的浓度。</w:t>
      </w:r>
      <w:r w:rsidR="00553751" w:rsidRPr="007A2EC7">
        <w:rPr>
          <w:rFonts w:ascii="Arial" w:eastAsia="宋体" w:hAnsi="Arial" w:cs="Arial"/>
          <w:sz w:val="24"/>
          <w:szCs w:val="24"/>
          <w:lang w:eastAsia="zh-CN"/>
        </w:rPr>
        <w:t>若样品</w:t>
      </w:r>
      <w:r w:rsidR="00553751" w:rsidRPr="007A2EC7">
        <w:rPr>
          <w:rFonts w:ascii="Arial" w:eastAsia="宋体" w:hAnsi="Arial" w:cs="Arial" w:hint="eastAsia"/>
          <w:sz w:val="24"/>
          <w:szCs w:val="24"/>
          <w:lang w:eastAsia="zh-CN"/>
        </w:rPr>
        <w:t>DNA</w:t>
      </w:r>
      <w:r w:rsidR="00553751" w:rsidRPr="007A2EC7">
        <w:rPr>
          <w:rFonts w:ascii="Arial" w:eastAsia="宋体" w:hAnsi="Arial" w:cs="Arial"/>
          <w:sz w:val="24"/>
          <w:szCs w:val="24"/>
          <w:lang w:eastAsia="zh-CN"/>
        </w:rPr>
        <w:t>浓度低于</w:t>
      </w:r>
      <w:r w:rsidR="00553751" w:rsidRPr="007A2EC7">
        <w:rPr>
          <w:rFonts w:ascii="Arial" w:eastAsia="宋体" w:hAnsi="Arial" w:cs="Arial" w:hint="eastAsia"/>
          <w:sz w:val="24"/>
          <w:szCs w:val="24"/>
          <w:lang w:eastAsia="zh-CN"/>
        </w:rPr>
        <w:t xml:space="preserve">20 </w:t>
      </w:r>
      <w:proofErr w:type="spellStart"/>
      <w:r w:rsidR="00553751" w:rsidRPr="007A2EC7">
        <w:rPr>
          <w:rFonts w:ascii="Arial" w:eastAsia="宋体" w:hAnsi="Arial" w:cs="Arial" w:hint="eastAsia"/>
          <w:sz w:val="24"/>
          <w:szCs w:val="24"/>
          <w:lang w:eastAsia="zh-CN"/>
        </w:rPr>
        <w:t>ng</w:t>
      </w:r>
      <w:proofErr w:type="spellEnd"/>
      <w:r w:rsidR="00553751" w:rsidRPr="007A2EC7">
        <w:rPr>
          <w:rFonts w:ascii="Arial" w:eastAsia="宋体" w:hAnsi="Arial" w:cs="Arial" w:hint="eastAsia"/>
          <w:sz w:val="24"/>
          <w:szCs w:val="24"/>
          <w:lang w:eastAsia="zh-CN"/>
        </w:rPr>
        <w:t>/</w:t>
      </w:r>
      <w:proofErr w:type="spellStart"/>
      <w:r w:rsidR="00553751" w:rsidRPr="007A2EC7">
        <w:rPr>
          <w:rFonts w:ascii="Arial" w:eastAsia="宋体" w:hAnsi="Arial" w:cs="Arial"/>
          <w:sz w:val="24"/>
          <w:szCs w:val="24"/>
        </w:rPr>
        <w:t>μl</w:t>
      </w:r>
      <w:proofErr w:type="spellEnd"/>
      <w:r w:rsidR="00553751" w:rsidRPr="007A2EC7">
        <w:rPr>
          <w:rFonts w:ascii="Arial" w:eastAsia="宋体" w:hAnsi="Arial" w:cs="Arial" w:hint="eastAsia"/>
          <w:sz w:val="24"/>
          <w:szCs w:val="24"/>
          <w:lang w:eastAsia="zh-CN"/>
        </w:rPr>
        <w:t>，建议对样品进行浓缩。针对气溶胶、深层底泥、原生动物肠道等特殊样品，</w:t>
      </w:r>
      <w:r w:rsidR="00D178A2" w:rsidRPr="007A2EC7">
        <w:rPr>
          <w:rFonts w:ascii="Arial" w:eastAsia="宋体" w:hAnsi="Arial" w:cs="Arial" w:hint="eastAsia"/>
          <w:sz w:val="24"/>
          <w:szCs w:val="24"/>
          <w:lang w:eastAsia="zh-CN"/>
        </w:rPr>
        <w:t>由于其</w:t>
      </w:r>
      <w:r w:rsidR="00D178A2" w:rsidRPr="007A2EC7">
        <w:rPr>
          <w:rFonts w:ascii="Arial" w:eastAsia="宋体" w:hAnsi="Arial" w:cs="Arial" w:hint="eastAsia"/>
          <w:sz w:val="24"/>
          <w:szCs w:val="24"/>
          <w:lang w:eastAsia="zh-CN"/>
        </w:rPr>
        <w:t>DNA</w:t>
      </w:r>
      <w:r w:rsidR="00D178A2" w:rsidRPr="007A2EC7">
        <w:rPr>
          <w:rFonts w:ascii="Arial" w:eastAsia="宋体" w:hAnsi="Arial" w:cs="Arial" w:hint="eastAsia"/>
          <w:sz w:val="24"/>
          <w:szCs w:val="24"/>
          <w:lang w:eastAsia="zh-CN"/>
        </w:rPr>
        <w:t>量极低，建议</w:t>
      </w:r>
      <w:r w:rsidR="00553751" w:rsidRPr="007A2EC7">
        <w:rPr>
          <w:rFonts w:ascii="Arial" w:eastAsia="宋体" w:hAnsi="Arial" w:cs="Arial" w:hint="eastAsia"/>
          <w:sz w:val="24"/>
          <w:szCs w:val="24"/>
          <w:lang w:eastAsia="zh-CN"/>
        </w:rPr>
        <w:t>直接进行高通量定量</w:t>
      </w:r>
      <w:r w:rsidR="00D178A2" w:rsidRPr="007A2EC7">
        <w:rPr>
          <w:rFonts w:ascii="Arial" w:eastAsia="宋体" w:hAnsi="Arial" w:cs="Arial" w:hint="eastAsia"/>
          <w:sz w:val="24"/>
          <w:szCs w:val="24"/>
          <w:lang w:eastAsia="zh-CN"/>
        </w:rPr>
        <w:t>检测。</w:t>
      </w:r>
    </w:p>
    <w:p w:rsidR="00404BD1" w:rsidRPr="007A2EC7" w:rsidRDefault="00947230">
      <w:pPr>
        <w:numPr>
          <w:ilvl w:val="1"/>
          <w:numId w:val="7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sz w:val="24"/>
          <w:szCs w:val="24"/>
          <w:lang w:eastAsia="zh-CN"/>
        </w:rPr>
        <w:t>针对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RNA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样品，准备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100-600 ng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的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RNA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，采用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High-Capacity cDNA Reverse Transcription Kit with RNase Inhibitor</w:t>
      </w:r>
      <w:proofErr w:type="gramStart"/>
      <w:r w:rsidRPr="007A2EC7">
        <w:rPr>
          <w:rFonts w:ascii="Arial" w:eastAsia="宋体" w:hAnsi="Arial" w:cs="Arial"/>
          <w:sz w:val="24"/>
          <w:szCs w:val="24"/>
          <w:lang w:eastAsia="zh-CN"/>
        </w:rPr>
        <w:t>试剂盒对</w:t>
      </w:r>
      <w:proofErr w:type="gramEnd"/>
      <w:r w:rsidRPr="007A2EC7">
        <w:rPr>
          <w:rFonts w:ascii="Arial" w:eastAsia="宋体" w:hAnsi="Arial" w:cs="Arial"/>
          <w:sz w:val="24"/>
          <w:szCs w:val="24"/>
          <w:lang w:eastAsia="zh-CN"/>
        </w:rPr>
        <w:t>RNA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进行反转录制备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cDNA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。</w:t>
      </w:r>
    </w:p>
    <w:p w:rsidR="00404BD1" w:rsidRPr="007A2EC7" w:rsidRDefault="00947230">
      <w:pPr>
        <w:numPr>
          <w:ilvl w:val="1"/>
          <w:numId w:val="7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sz w:val="24"/>
          <w:szCs w:val="24"/>
          <w:lang w:eastAsia="zh-CN"/>
        </w:rPr>
        <w:t>每个质粒采用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TE buffer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溶解，按照每个质粒相同拷贝数进行合并，做成混合标液，最终浓度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2×10</w:t>
      </w:r>
      <w:r w:rsidRPr="007A2EC7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8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 xml:space="preserve"> copies/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μl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，总体积约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 xml:space="preserve">500 </w:t>
      </w:r>
      <w:bookmarkStart w:id="5" w:name="OLE_LINK14"/>
      <w:bookmarkStart w:id="6" w:name="OLE_LINK15"/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μl</w:t>
      </w:r>
      <w:bookmarkEnd w:id="5"/>
      <w:bookmarkEnd w:id="6"/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左右。</w:t>
      </w:r>
    </w:p>
    <w:p w:rsidR="00404BD1" w:rsidRPr="007A2EC7" w:rsidRDefault="00947230">
      <w:pPr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</w:rPr>
      </w:pPr>
      <w:r w:rsidRPr="007A2EC7">
        <w:rPr>
          <w:rFonts w:ascii="Arial" w:eastAsia="宋体" w:hAnsi="Arial" w:cs="Arial"/>
          <w:sz w:val="24"/>
          <w:szCs w:val="24"/>
        </w:rPr>
        <w:t>引物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和</w:t>
      </w:r>
      <w:r w:rsidRPr="007A2EC7">
        <w:rPr>
          <w:rFonts w:ascii="Arial" w:eastAsia="宋体" w:hAnsi="Arial" w:cs="Arial"/>
          <w:sz w:val="24"/>
          <w:szCs w:val="24"/>
        </w:rPr>
        <w:t>探针稀释</w:t>
      </w:r>
    </w:p>
    <w:p w:rsidR="00404BD1" w:rsidRPr="00A65254" w:rsidRDefault="00947230">
      <w:pPr>
        <w:numPr>
          <w:ilvl w:val="1"/>
          <w:numId w:val="8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</w:rPr>
      </w:pPr>
      <w:r w:rsidRPr="007A2EC7">
        <w:rPr>
          <w:rFonts w:ascii="Arial" w:eastAsia="宋体" w:hAnsi="Arial" w:cs="Arial"/>
          <w:sz w:val="24"/>
          <w:szCs w:val="24"/>
        </w:rPr>
        <w:t>引物和探针干粉首先离心机微离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7A2EC7">
        <w:rPr>
          <w:rFonts w:ascii="Arial" w:eastAsia="宋体" w:hAnsi="Arial" w:cs="Arial"/>
          <w:sz w:val="24"/>
          <w:szCs w:val="24"/>
        </w:rPr>
        <w:t>使得干粉聚集离心管底部</w:t>
      </w:r>
      <w:r w:rsidR="00A321D4" w:rsidRPr="007A2EC7">
        <w:rPr>
          <w:rFonts w:ascii="Arial" w:eastAsia="宋体" w:hAnsi="Arial" w:cs="Arial"/>
          <w:sz w:val="24"/>
          <w:szCs w:val="24"/>
          <w:lang w:eastAsia="zh-CN"/>
        </w:rPr>
        <w:t>（防止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超净台稀释引物或探针时粉末被吹出，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造成引物或探针量减少），</w:t>
      </w:r>
      <w:r w:rsidRPr="00A65254">
        <w:rPr>
          <w:rFonts w:ascii="Arial" w:eastAsia="宋体" w:hAnsi="Arial" w:cs="Arial"/>
          <w:sz w:val="24"/>
          <w:szCs w:val="24"/>
        </w:rPr>
        <w:t>分别用</w:t>
      </w:r>
      <w:r w:rsidRPr="00A65254">
        <w:rPr>
          <w:rFonts w:ascii="Arial" w:eastAsia="宋体" w:hAnsi="Arial" w:cs="Arial"/>
          <w:sz w:val="24"/>
          <w:szCs w:val="24"/>
        </w:rPr>
        <w:t>TE buffer</w:t>
      </w:r>
      <w:r w:rsidRPr="00A65254">
        <w:rPr>
          <w:rFonts w:ascii="Arial" w:eastAsia="宋体" w:hAnsi="Arial" w:cs="Arial"/>
          <w:sz w:val="24"/>
          <w:szCs w:val="24"/>
        </w:rPr>
        <w:t>稀释成终浓度</w:t>
      </w:r>
      <w:r w:rsidRPr="00A65254">
        <w:rPr>
          <w:rFonts w:ascii="Arial" w:eastAsia="宋体" w:hAnsi="Arial" w:cs="Arial"/>
          <w:sz w:val="24"/>
          <w:szCs w:val="24"/>
        </w:rPr>
        <w:t>100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M</w:t>
      </w:r>
      <w:proofErr w:type="spellEnd"/>
      <w:r w:rsidRPr="00A65254">
        <w:rPr>
          <w:rFonts w:ascii="Arial" w:eastAsia="宋体" w:hAnsi="Arial" w:cs="Arial"/>
          <w:sz w:val="24"/>
          <w:szCs w:val="24"/>
        </w:rPr>
        <w:t>的母液。</w:t>
      </w:r>
    </w:p>
    <w:p w:rsidR="00404BD1" w:rsidRPr="00A65254" w:rsidRDefault="00947230">
      <w:pPr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</w:rPr>
      </w:pPr>
      <w:r w:rsidRPr="00A65254">
        <w:rPr>
          <w:rFonts w:ascii="Arial" w:eastAsia="宋体" w:hAnsi="Arial" w:cs="Arial"/>
          <w:sz w:val="24"/>
          <w:szCs w:val="24"/>
        </w:rPr>
        <w:t>HT-qPCR</w:t>
      </w:r>
      <w:r w:rsidRPr="00A65254">
        <w:rPr>
          <w:rFonts w:ascii="Arial" w:eastAsia="宋体" w:hAnsi="Arial" w:cs="Arial"/>
          <w:sz w:val="24"/>
          <w:szCs w:val="24"/>
        </w:rPr>
        <w:t>用的引物板的配制</w:t>
      </w:r>
    </w:p>
    <w:p w:rsidR="00404BD1" w:rsidRPr="00A65254" w:rsidRDefault="00947230">
      <w:pPr>
        <w:numPr>
          <w:ilvl w:val="1"/>
          <w:numId w:val="9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</w:rPr>
      </w:pPr>
      <w:r w:rsidRPr="00A65254">
        <w:rPr>
          <w:rFonts w:ascii="Arial" w:eastAsia="宋体" w:hAnsi="Arial" w:cs="Arial"/>
          <w:sz w:val="24"/>
          <w:szCs w:val="24"/>
        </w:rPr>
        <w:t>针对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SYBR Green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染料法</w:t>
      </w:r>
      <w:r w:rsidRPr="00A65254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[1-3]</w:t>
      </w:r>
    </w:p>
    <w:p w:rsidR="00404BD1" w:rsidRPr="00A65254" w:rsidRDefault="00947230">
      <w:pPr>
        <w:numPr>
          <w:ilvl w:val="2"/>
          <w:numId w:val="10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采用无菌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96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孔板，在每一个孔中加入一个靶基因的相应上下游引物，并记录相应位置。按下列体积在每个孔中添加：</w:t>
      </w:r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200" w:firstLine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100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M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A65254">
        <w:rPr>
          <w:rFonts w:ascii="Arial" w:eastAsia="宋体" w:hAnsi="Arial" w:cs="Arial"/>
          <w:sz w:val="24"/>
          <w:szCs w:val="24"/>
        </w:rPr>
        <w:t>forward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A65254">
        <w:rPr>
          <w:rFonts w:ascii="Arial" w:eastAsia="宋体" w:hAnsi="Arial" w:cs="Arial"/>
          <w:sz w:val="24"/>
          <w:szCs w:val="24"/>
        </w:rPr>
        <w:t>primer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   8.5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μl</w:t>
      </w:r>
      <w:proofErr w:type="spellEnd"/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200" w:firstLine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100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M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reverse </w:t>
      </w:r>
      <w:r w:rsidRPr="00A65254">
        <w:rPr>
          <w:rFonts w:ascii="Arial" w:eastAsia="宋体" w:hAnsi="Arial" w:cs="Arial"/>
          <w:sz w:val="24"/>
          <w:szCs w:val="24"/>
        </w:rPr>
        <w:t>primer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   8.5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μl</w:t>
      </w:r>
      <w:proofErr w:type="spellEnd"/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200" w:firstLine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1×TE buffer              83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μl</w:t>
      </w:r>
      <w:proofErr w:type="spellEnd"/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200" w:firstLine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Total volume             100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μl</w:t>
      </w:r>
      <w:proofErr w:type="spellEnd"/>
    </w:p>
    <w:p w:rsidR="00404BD1" w:rsidRPr="00A65254" w:rsidRDefault="00947230">
      <w:pPr>
        <w:numPr>
          <w:ilvl w:val="1"/>
          <w:numId w:val="9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</w:rPr>
        <w:t>针对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Taqman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探针法</w:t>
      </w:r>
      <w:r w:rsidRPr="00A65254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[4,5]</w:t>
      </w:r>
    </w:p>
    <w:p w:rsidR="00404BD1" w:rsidRPr="00A65254" w:rsidRDefault="00947230">
      <w:pPr>
        <w:numPr>
          <w:ilvl w:val="2"/>
          <w:numId w:val="11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采用无菌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96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孔板，在每一个孔中加入一个靶基因的相应上下游引物及探针，并记录相应位置。按下列体积在每个孔中添加：</w:t>
      </w:r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200" w:firstLine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</w:rPr>
        <w:t>100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M</w:t>
      </w:r>
      <w:proofErr w:type="spellEnd"/>
      <w:r w:rsidRPr="00A65254">
        <w:rPr>
          <w:rFonts w:ascii="Arial" w:eastAsia="宋体" w:hAnsi="Arial" w:cs="Arial"/>
          <w:sz w:val="24"/>
          <w:szCs w:val="24"/>
        </w:rPr>
        <w:t xml:space="preserve"> forward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A65254">
        <w:rPr>
          <w:rFonts w:ascii="Arial" w:eastAsia="宋体" w:hAnsi="Arial" w:cs="Arial"/>
          <w:sz w:val="24"/>
          <w:szCs w:val="24"/>
        </w:rPr>
        <w:t xml:space="preserve">primer     </w:t>
      </w:r>
      <w:bookmarkStart w:id="7" w:name="OLE_LINK1"/>
      <w:bookmarkStart w:id="8" w:name="OLE_LINK2"/>
      <w:r w:rsidRPr="00A65254">
        <w:rPr>
          <w:rFonts w:ascii="Arial" w:eastAsia="宋体" w:hAnsi="Arial" w:cs="Arial"/>
          <w:sz w:val="24"/>
          <w:szCs w:val="24"/>
        </w:rPr>
        <w:t xml:space="preserve">10.9 </w:t>
      </w:r>
      <w:bookmarkEnd w:id="7"/>
      <w:bookmarkEnd w:id="8"/>
      <w:proofErr w:type="spellStart"/>
      <w:r w:rsidRPr="00A65254">
        <w:rPr>
          <w:rFonts w:ascii="Arial" w:eastAsia="宋体" w:hAnsi="Arial" w:cs="Arial"/>
          <w:sz w:val="24"/>
          <w:szCs w:val="24"/>
        </w:rPr>
        <w:t>μl</w:t>
      </w:r>
      <w:proofErr w:type="spellEnd"/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200" w:firstLine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</w:rPr>
        <w:t>100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M</w:t>
      </w:r>
      <w:proofErr w:type="spellEnd"/>
      <w:r w:rsidRPr="00A65254">
        <w:rPr>
          <w:rFonts w:ascii="Arial" w:eastAsia="宋体" w:hAnsi="Arial" w:cs="Arial"/>
          <w:sz w:val="24"/>
          <w:szCs w:val="24"/>
        </w:rPr>
        <w:t xml:space="preserve"> 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reverse </w:t>
      </w:r>
      <w:r w:rsidRPr="00A65254">
        <w:rPr>
          <w:rFonts w:ascii="Arial" w:eastAsia="宋体" w:hAnsi="Arial" w:cs="Arial"/>
          <w:sz w:val="24"/>
          <w:szCs w:val="24"/>
        </w:rPr>
        <w:t xml:space="preserve">primer     10.9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μl</w:t>
      </w:r>
      <w:proofErr w:type="spellEnd"/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200" w:firstLine="480"/>
        <w:jc w:val="both"/>
        <w:rPr>
          <w:rFonts w:ascii="Arial" w:eastAsia="宋体" w:hAnsi="Arial" w:cs="Arial"/>
          <w:sz w:val="24"/>
          <w:szCs w:val="24"/>
        </w:rPr>
      </w:pPr>
      <w:r w:rsidRPr="00A65254">
        <w:rPr>
          <w:rFonts w:ascii="Arial" w:eastAsia="宋体" w:hAnsi="Arial" w:cs="Arial"/>
          <w:sz w:val="24"/>
          <w:szCs w:val="24"/>
        </w:rPr>
        <w:t>100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M</w:t>
      </w:r>
      <w:proofErr w:type="spellEnd"/>
      <w:r w:rsidRPr="00A65254">
        <w:rPr>
          <w:rFonts w:ascii="Arial" w:eastAsia="宋体" w:hAnsi="Arial" w:cs="Arial"/>
          <w:sz w:val="24"/>
          <w:szCs w:val="24"/>
        </w:rPr>
        <w:t xml:space="preserve"> p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r</w:t>
      </w:r>
      <w:r w:rsidRPr="00A65254">
        <w:rPr>
          <w:rFonts w:ascii="Arial" w:eastAsia="宋体" w:hAnsi="Arial" w:cs="Arial"/>
          <w:sz w:val="24"/>
          <w:szCs w:val="24"/>
        </w:rPr>
        <w:t xml:space="preserve">obe     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     </w:t>
      </w:r>
      <w:r w:rsidRPr="00A65254">
        <w:rPr>
          <w:rFonts w:ascii="Arial" w:eastAsia="宋体" w:hAnsi="Arial" w:cs="Arial"/>
          <w:sz w:val="24"/>
          <w:szCs w:val="24"/>
        </w:rPr>
        <w:t xml:space="preserve">  3 </w:t>
      </w:r>
      <w:proofErr w:type="spellStart"/>
      <w:r w:rsidRPr="00A65254">
        <w:rPr>
          <w:rFonts w:ascii="Arial" w:eastAsia="宋体" w:hAnsi="Arial" w:cs="Arial"/>
          <w:sz w:val="24"/>
          <w:szCs w:val="24"/>
        </w:rPr>
        <w:t>μl</w:t>
      </w:r>
      <w:proofErr w:type="spellEnd"/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200" w:firstLine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1×TE buffer              75.2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μl</w:t>
      </w:r>
      <w:proofErr w:type="spellEnd"/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200" w:firstLine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Total volume             100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μl</w:t>
      </w:r>
      <w:proofErr w:type="spellEnd"/>
    </w:p>
    <w:p w:rsidR="00404BD1" w:rsidRPr="00A65254" w:rsidRDefault="00404BD1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b/>
          <w:bCs/>
          <w:sz w:val="24"/>
          <w:szCs w:val="24"/>
          <w:lang w:eastAsia="zh-CN"/>
        </w:rPr>
      </w:pPr>
    </w:p>
    <w:p w:rsidR="00404BD1" w:rsidRPr="00A65254" w:rsidRDefault="00947230">
      <w:pPr>
        <w:numPr>
          <w:ilvl w:val="0"/>
          <w:numId w:val="5"/>
        </w:numPr>
        <w:adjustRightInd w:val="0"/>
        <w:snapToGrid w:val="0"/>
        <w:spacing w:line="360" w:lineRule="auto"/>
        <w:ind w:firstLine="0"/>
        <w:jc w:val="both"/>
        <w:rPr>
          <w:rFonts w:ascii="Arial" w:eastAsia="宋体" w:hAnsi="Arial" w:cs="Arial"/>
          <w:b/>
          <w:bCs/>
          <w:sz w:val="24"/>
          <w:szCs w:val="24"/>
        </w:rPr>
      </w:pPr>
      <w:r w:rsidRPr="00A65254">
        <w:rPr>
          <w:rFonts w:ascii="Arial" w:eastAsia="宋体" w:hAnsi="Arial" w:cs="Arial"/>
          <w:b/>
          <w:bCs/>
          <w:sz w:val="24"/>
          <w:szCs w:val="24"/>
        </w:rPr>
        <w:t>标准曲线的测定</w:t>
      </w:r>
    </w:p>
    <w:p w:rsidR="00404BD1" w:rsidRPr="007A2EC7" w:rsidRDefault="00947230">
      <w:pPr>
        <w:numPr>
          <w:ilvl w:val="0"/>
          <w:numId w:val="1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</w:rPr>
      </w:pPr>
      <w:r w:rsidRPr="00A65254">
        <w:rPr>
          <w:rFonts w:ascii="Arial" w:eastAsia="宋体" w:hAnsi="Arial" w:cs="Arial"/>
          <w:sz w:val="24"/>
          <w:szCs w:val="24"/>
        </w:rPr>
        <w:lastRenderedPageBreak/>
        <w:t>将混标进行</w:t>
      </w:r>
      <w:r w:rsidRPr="00A65254">
        <w:rPr>
          <w:rFonts w:ascii="Arial" w:eastAsia="宋体" w:hAnsi="Arial" w:cs="Arial"/>
          <w:sz w:val="24"/>
          <w:szCs w:val="24"/>
        </w:rPr>
        <w:t>10</w:t>
      </w:r>
      <w:r w:rsidRPr="00A65254">
        <w:rPr>
          <w:rFonts w:ascii="Arial" w:eastAsia="宋体" w:hAnsi="Arial" w:cs="Arial"/>
          <w:sz w:val="24"/>
          <w:szCs w:val="24"/>
        </w:rPr>
        <w:t>倍系列稀释。系列</w:t>
      </w:r>
      <w:r w:rsidRPr="007A2EC7">
        <w:rPr>
          <w:rFonts w:ascii="Arial" w:eastAsia="宋体" w:hAnsi="Arial" w:cs="Arial"/>
          <w:sz w:val="24"/>
          <w:szCs w:val="24"/>
        </w:rPr>
        <w:t>稀释的混标（</w:t>
      </w:r>
      <w:r w:rsidRPr="007A2EC7">
        <w:rPr>
          <w:rFonts w:ascii="Arial" w:eastAsia="宋体" w:hAnsi="Arial" w:cs="Arial"/>
          <w:sz w:val="24"/>
          <w:szCs w:val="24"/>
        </w:rPr>
        <w:t>2×10</w:t>
      </w:r>
      <w:r w:rsidRPr="007A2EC7">
        <w:rPr>
          <w:rFonts w:ascii="Arial" w:eastAsia="宋体" w:hAnsi="Arial" w:cs="Arial"/>
          <w:sz w:val="24"/>
          <w:szCs w:val="24"/>
          <w:vertAlign w:val="superscript"/>
        </w:rPr>
        <w:t>8</w:t>
      </w:r>
      <w:r w:rsidRPr="007A2EC7">
        <w:rPr>
          <w:rFonts w:ascii="Arial" w:eastAsia="宋体" w:hAnsi="Arial" w:cs="Arial"/>
          <w:sz w:val="24"/>
          <w:szCs w:val="24"/>
        </w:rPr>
        <w:t>、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2×10</w:t>
      </w:r>
      <w:r w:rsidRPr="007A2EC7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7</w:t>
      </w:r>
      <w:r w:rsidRPr="007A2EC7">
        <w:rPr>
          <w:rFonts w:ascii="Arial" w:eastAsia="宋体" w:hAnsi="Arial" w:cs="Arial"/>
          <w:sz w:val="24"/>
          <w:szCs w:val="24"/>
        </w:rPr>
        <w:t>、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2×10</w:t>
      </w:r>
      <w:r w:rsidRPr="007A2EC7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6</w:t>
      </w:r>
      <w:r w:rsidRPr="007A2EC7">
        <w:rPr>
          <w:rFonts w:ascii="Arial" w:eastAsia="宋体" w:hAnsi="Arial" w:cs="Arial"/>
          <w:sz w:val="24"/>
          <w:szCs w:val="24"/>
        </w:rPr>
        <w:t>、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2×10</w:t>
      </w:r>
      <w:r w:rsidRPr="007A2EC7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5</w:t>
      </w:r>
      <w:r w:rsidRPr="007A2EC7">
        <w:rPr>
          <w:rFonts w:ascii="Arial" w:eastAsia="宋体" w:hAnsi="Arial" w:cs="Arial"/>
          <w:sz w:val="24"/>
          <w:szCs w:val="24"/>
        </w:rPr>
        <w:t>、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2×10</w:t>
      </w:r>
      <w:r w:rsidRPr="007A2EC7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4</w:t>
      </w:r>
      <w:r w:rsidRPr="007A2EC7">
        <w:rPr>
          <w:rFonts w:ascii="Arial" w:eastAsia="宋体" w:hAnsi="Arial" w:cs="Arial"/>
          <w:sz w:val="24"/>
          <w:szCs w:val="24"/>
        </w:rPr>
        <w:t>、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2×10</w:t>
      </w:r>
      <w:r w:rsidRPr="007A2EC7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3</w:t>
      </w:r>
      <w:r w:rsidRPr="007A2EC7">
        <w:rPr>
          <w:rFonts w:ascii="Arial" w:eastAsia="宋体" w:hAnsi="Arial" w:cs="Arial"/>
          <w:sz w:val="24"/>
          <w:szCs w:val="24"/>
        </w:rPr>
        <w:t>、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2×10</w:t>
      </w:r>
      <w:r w:rsidRPr="007A2EC7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2</w:t>
      </w:r>
      <w:r w:rsidRPr="007A2EC7">
        <w:rPr>
          <w:rFonts w:ascii="Arial" w:eastAsia="宋体" w:hAnsi="Arial" w:cs="Arial"/>
          <w:sz w:val="24"/>
          <w:szCs w:val="24"/>
        </w:rPr>
        <w:t>）作为标准</w:t>
      </w:r>
      <w:r w:rsidRPr="007A2EC7">
        <w:rPr>
          <w:rFonts w:ascii="Arial" w:eastAsia="宋体" w:hAnsi="Arial" w:cs="Arial"/>
          <w:sz w:val="24"/>
          <w:szCs w:val="24"/>
        </w:rPr>
        <w:t>DNA</w:t>
      </w:r>
      <w:r w:rsidRPr="007A2EC7">
        <w:rPr>
          <w:rFonts w:ascii="Arial" w:eastAsia="宋体" w:hAnsi="Arial" w:cs="Arial"/>
          <w:sz w:val="24"/>
          <w:szCs w:val="24"/>
        </w:rPr>
        <w:t>样本，进行高通量定量分析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BF7678" w:rsidRPr="007A2EC7">
        <w:rPr>
          <w:rFonts w:ascii="Arial" w:eastAsia="宋体" w:hAnsi="Arial" w:cs="Arial"/>
          <w:sz w:val="24"/>
          <w:szCs w:val="24"/>
          <w:lang w:eastAsia="zh-CN"/>
        </w:rPr>
        <w:t>以不同基因标准质粒的对数值为横坐标</w:t>
      </w:r>
      <w:r w:rsidR="00BF7678" w:rsidRPr="007A2EC7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="00BF7678" w:rsidRPr="007A2EC7">
        <w:rPr>
          <w:rFonts w:ascii="Arial" w:eastAsia="宋体" w:hAnsi="Arial" w:cs="Arial"/>
          <w:sz w:val="24"/>
          <w:szCs w:val="24"/>
          <w:lang w:eastAsia="zh-CN"/>
        </w:rPr>
        <w:t>以测得的</w:t>
      </w:r>
      <w:r w:rsidR="00BF7678" w:rsidRPr="007A2EC7">
        <w:rPr>
          <w:rFonts w:ascii="Arial" w:eastAsia="宋体" w:hAnsi="Arial" w:cs="Arial" w:hint="eastAsia"/>
          <w:sz w:val="24"/>
          <w:szCs w:val="24"/>
          <w:lang w:eastAsia="zh-CN"/>
        </w:rPr>
        <w:t>Ct</w:t>
      </w:r>
      <w:r w:rsidR="00BF7678" w:rsidRPr="007A2EC7">
        <w:rPr>
          <w:rFonts w:ascii="Arial" w:eastAsia="宋体" w:hAnsi="Arial" w:cs="Arial" w:hint="eastAsia"/>
          <w:sz w:val="24"/>
          <w:szCs w:val="24"/>
          <w:lang w:eastAsia="zh-CN"/>
        </w:rPr>
        <w:t>值为纵坐标，</w:t>
      </w:r>
      <w:r w:rsidRPr="007A2EC7">
        <w:rPr>
          <w:rFonts w:ascii="Arial" w:eastAsia="宋体" w:hAnsi="Arial" w:cs="Arial"/>
          <w:sz w:val="24"/>
          <w:szCs w:val="24"/>
        </w:rPr>
        <w:t>绘制标准曲线</w:t>
      </w:r>
      <w:r w:rsidRPr="007A2EC7">
        <w:rPr>
          <w:rFonts w:ascii="Arial" w:eastAsia="宋体" w:hAnsi="Arial" w:cs="Arial"/>
          <w:sz w:val="24"/>
          <w:szCs w:val="24"/>
          <w:vertAlign w:val="superscript"/>
          <w:lang w:eastAsia="zh-CN"/>
        </w:rPr>
        <w:t>[4]</w:t>
      </w:r>
      <w:r w:rsidRPr="007A2EC7">
        <w:rPr>
          <w:rFonts w:ascii="Arial" w:eastAsia="宋体" w:hAnsi="Arial" w:cs="Arial"/>
          <w:sz w:val="24"/>
          <w:szCs w:val="24"/>
        </w:rPr>
        <w:t>。</w:t>
      </w:r>
    </w:p>
    <w:p w:rsidR="00404BD1" w:rsidRPr="007A2EC7" w:rsidRDefault="00404BD1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</w:p>
    <w:p w:rsidR="00404BD1" w:rsidRPr="007A2EC7" w:rsidRDefault="00947230">
      <w:pPr>
        <w:numPr>
          <w:ilvl w:val="0"/>
          <w:numId w:val="5"/>
        </w:numPr>
        <w:adjustRightInd w:val="0"/>
        <w:snapToGrid w:val="0"/>
        <w:spacing w:line="360" w:lineRule="auto"/>
        <w:ind w:firstLine="0"/>
        <w:jc w:val="both"/>
        <w:rPr>
          <w:rFonts w:ascii="Arial" w:eastAsia="宋体" w:hAnsi="Arial" w:cs="Arial"/>
          <w:b/>
          <w:bCs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b/>
          <w:bCs/>
          <w:sz w:val="24"/>
          <w:szCs w:val="24"/>
        </w:rPr>
        <w:t>高通量定量运行</w:t>
      </w:r>
    </w:p>
    <w:p w:rsidR="00404BD1" w:rsidRPr="007A2EC7" w:rsidRDefault="00947230">
      <w:pPr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sz w:val="24"/>
          <w:szCs w:val="24"/>
          <w:lang w:eastAsia="zh-CN"/>
        </w:rPr>
        <w:t>高通量定量运行的技术流程如图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1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所示。以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72 assays×72 samples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的阵列为例，简要流程概述如下：</w:t>
      </w:r>
    </w:p>
    <w:p w:rsidR="00404BD1" w:rsidRPr="00A65254" w:rsidRDefault="00947230">
      <w:pPr>
        <w:numPr>
          <w:ilvl w:val="1"/>
          <w:numId w:val="14"/>
        </w:numPr>
        <w:adjustRightInd w:val="0"/>
        <w:snapToGrid w:val="0"/>
        <w:spacing w:line="360" w:lineRule="auto"/>
        <w:ind w:left="420" w:firstLine="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sz w:val="24"/>
          <w:szCs w:val="24"/>
          <w:lang w:eastAsia="zh-CN"/>
        </w:rPr>
        <w:t>获得原始实验样品后，对样本中的微生物总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DNA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进行提取，之后对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DNA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样品进行总量及纯度检测。检测合格后将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DNA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样品和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qPCR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所用的试剂添加至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384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孔板作为样品板（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 xml:space="preserve">Sample 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Sourceplate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），同时将引物和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qPCR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所用的试剂添加至另一</w:t>
      </w:r>
      <w:proofErr w:type="gramStart"/>
      <w:r w:rsidRPr="007A2EC7">
        <w:rPr>
          <w:rFonts w:ascii="Arial" w:eastAsia="宋体" w:hAnsi="Arial" w:cs="Arial"/>
          <w:sz w:val="24"/>
          <w:szCs w:val="24"/>
          <w:lang w:eastAsia="zh-CN"/>
        </w:rPr>
        <w:t>384</w:t>
      </w:r>
      <w:proofErr w:type="gramEnd"/>
      <w:r w:rsidRPr="007A2EC7">
        <w:rPr>
          <w:rFonts w:ascii="Arial" w:eastAsia="宋体" w:hAnsi="Arial" w:cs="Arial"/>
          <w:sz w:val="24"/>
          <w:szCs w:val="24"/>
          <w:lang w:eastAsia="zh-CN"/>
        </w:rPr>
        <w:t>孔板作为引物板（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 xml:space="preserve">Assay 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Sourceplate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）。采用高通量自动微量加</w:t>
      </w:r>
      <w:proofErr w:type="gramStart"/>
      <w:r w:rsidRPr="007A2EC7">
        <w:rPr>
          <w:rFonts w:ascii="Arial" w:eastAsia="宋体" w:hAnsi="Arial" w:cs="Arial"/>
          <w:sz w:val="24"/>
          <w:szCs w:val="24"/>
          <w:lang w:eastAsia="zh-CN"/>
        </w:rPr>
        <w:t>样设备</w:t>
      </w:r>
      <w:proofErr w:type="gramEnd"/>
      <w:r w:rsidRPr="007A2EC7">
        <w:rPr>
          <w:rFonts w:ascii="Arial" w:eastAsia="宋体" w:hAnsi="Arial" w:cs="Arial"/>
          <w:sz w:val="24"/>
          <w:szCs w:val="24"/>
          <w:lang w:eastAsia="zh-CN"/>
        </w:rPr>
        <w:t>分别将样品板和引物板试剂添加至高通量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qPCR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芯片的微孔中，在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SmartChip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 xml:space="preserve"> Real-Time PCR System 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中实行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qPCR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反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应及荧光信号检测，并自动生成扩增曲线和溶解曲线。</w:t>
      </w:r>
    </w:p>
    <w:p w:rsidR="00404BD1" w:rsidRPr="00A65254" w:rsidRDefault="00947230">
      <w:pPr>
        <w:adjustRightInd w:val="0"/>
        <w:snapToGrid w:val="0"/>
        <w:spacing w:line="360" w:lineRule="auto"/>
        <w:ind w:left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noProof/>
          <w:sz w:val="24"/>
          <w:szCs w:val="24"/>
          <w:lang w:eastAsia="zh-CN"/>
        </w:rPr>
        <w:lastRenderedPageBreak/>
        <w:drawing>
          <wp:inline distT="0" distB="0" distL="0" distR="0" wp14:anchorId="49B1C0E2" wp14:editId="43418CC5">
            <wp:extent cx="3753485" cy="65093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722" cy="6515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4BD1" w:rsidRPr="00A65254" w:rsidRDefault="00947230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eastAsia="宋体" w:hAnsi="Arial" w:cs="Arial"/>
          <w:b/>
          <w:bCs/>
          <w:sz w:val="24"/>
          <w:szCs w:val="24"/>
          <w:vertAlign w:val="superscript"/>
          <w:lang w:eastAsia="zh-CN"/>
        </w:rPr>
      </w:pP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图</w:t>
      </w: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 xml:space="preserve">1 </w:t>
      </w: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高通量定量</w:t>
      </w: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PCR</w:t>
      </w: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技术流程</w:t>
      </w:r>
      <w:r w:rsidRPr="00A65254">
        <w:rPr>
          <w:rFonts w:ascii="Arial" w:eastAsia="宋体" w:hAnsi="Arial" w:cs="Arial"/>
          <w:b/>
          <w:bCs/>
          <w:sz w:val="24"/>
          <w:szCs w:val="24"/>
          <w:vertAlign w:val="superscript"/>
          <w:lang w:eastAsia="zh-CN"/>
        </w:rPr>
        <w:t>[4]</w:t>
      </w:r>
    </w:p>
    <w:p w:rsidR="00A62356" w:rsidRPr="00A65254" w:rsidRDefault="00A62356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eastAsia="宋体" w:hAnsi="Arial" w:cs="Arial"/>
          <w:b/>
          <w:bCs/>
          <w:sz w:val="24"/>
          <w:szCs w:val="24"/>
          <w:lang w:eastAsia="zh-CN"/>
        </w:rPr>
      </w:pPr>
    </w:p>
    <w:p w:rsidR="00404BD1" w:rsidRPr="00A65254" w:rsidRDefault="00947230">
      <w:pPr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各试剂在微孔芯片运行的反应体系参考表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1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（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SYBR Green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染料法）和表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2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（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Taqman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探针法）。</w:t>
      </w:r>
    </w:p>
    <w:p w:rsidR="00404BD1" w:rsidRPr="00A65254" w:rsidRDefault="00947230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eastAsia="宋体" w:hAnsi="Arial" w:cs="Arial"/>
          <w:b/>
          <w:bCs/>
          <w:sz w:val="24"/>
          <w:szCs w:val="24"/>
        </w:rPr>
      </w:pP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表</w:t>
      </w: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1. SYBR Green</w:t>
      </w: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染料法</w:t>
      </w:r>
      <w:r w:rsidRPr="00A65254">
        <w:rPr>
          <w:rFonts w:ascii="Arial" w:eastAsia="宋体" w:hAnsi="Arial" w:cs="Arial"/>
          <w:b/>
          <w:bCs/>
          <w:sz w:val="24"/>
          <w:szCs w:val="24"/>
        </w:rPr>
        <w:t>荧光定量的体系（</w:t>
      </w:r>
      <w:r w:rsidRPr="00A65254">
        <w:rPr>
          <w:rFonts w:ascii="Arial" w:eastAsia="宋体" w:hAnsi="Arial" w:cs="Arial"/>
          <w:b/>
          <w:bCs/>
          <w:sz w:val="24"/>
          <w:szCs w:val="24"/>
        </w:rPr>
        <w:t xml:space="preserve">100 </w:t>
      </w:r>
      <w:proofErr w:type="spellStart"/>
      <w:r w:rsidRPr="00A65254">
        <w:rPr>
          <w:rFonts w:ascii="Arial" w:eastAsia="宋体" w:hAnsi="Arial" w:cs="Arial"/>
          <w:b/>
          <w:bCs/>
          <w:sz w:val="24"/>
          <w:szCs w:val="24"/>
        </w:rPr>
        <w:t>nl</w:t>
      </w:r>
      <w:proofErr w:type="spellEnd"/>
      <w:r w:rsidRPr="00A65254">
        <w:rPr>
          <w:rFonts w:ascii="Arial" w:eastAsia="宋体" w:hAnsi="Arial" w:cs="Arial"/>
          <w:b/>
          <w:bCs/>
          <w:sz w:val="24"/>
          <w:szCs w:val="24"/>
        </w:rPr>
        <w:t>）</w:t>
      </w: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3543"/>
        <w:gridCol w:w="2321"/>
      </w:tblGrid>
      <w:tr w:rsidR="00A65254" w:rsidRPr="00A65254">
        <w:tc>
          <w:tcPr>
            <w:tcW w:w="3543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Reagent</w:t>
            </w:r>
          </w:p>
        </w:tc>
        <w:tc>
          <w:tcPr>
            <w:tcW w:w="2321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Final concentration</w:t>
            </w:r>
          </w:p>
        </w:tc>
      </w:tr>
      <w:tr w:rsidR="00A65254" w:rsidRPr="00A65254">
        <w:tc>
          <w:tcPr>
            <w:tcW w:w="3543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Forward primer</w:t>
            </w:r>
          </w:p>
        </w:tc>
        <w:tc>
          <w:tcPr>
            <w:tcW w:w="2321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0.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5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μ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M</w:t>
            </w:r>
            <w:proofErr w:type="spellEnd"/>
          </w:p>
        </w:tc>
      </w:tr>
      <w:tr w:rsidR="00A65254" w:rsidRPr="00A65254">
        <w:tc>
          <w:tcPr>
            <w:tcW w:w="3543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lastRenderedPageBreak/>
              <w:t>Reverse primer</w:t>
            </w:r>
          </w:p>
        </w:tc>
        <w:tc>
          <w:tcPr>
            <w:tcW w:w="2321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0.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5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μ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M</w:t>
            </w:r>
            <w:proofErr w:type="spellEnd"/>
          </w:p>
        </w:tc>
      </w:tr>
      <w:tr w:rsidR="00A65254" w:rsidRPr="00A65254">
        <w:tc>
          <w:tcPr>
            <w:tcW w:w="3543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SYBR Green I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 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Master Mix</w:t>
            </w:r>
          </w:p>
        </w:tc>
        <w:tc>
          <w:tcPr>
            <w:tcW w:w="2321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1×</w:t>
            </w:r>
          </w:p>
        </w:tc>
      </w:tr>
      <w:tr w:rsidR="00A65254" w:rsidRPr="00A65254">
        <w:tc>
          <w:tcPr>
            <w:tcW w:w="3543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BSA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 (50 mg/ml)</w:t>
            </w:r>
          </w:p>
        </w:tc>
        <w:tc>
          <w:tcPr>
            <w:tcW w:w="2321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1 mg/ml</w:t>
            </w:r>
          </w:p>
        </w:tc>
      </w:tr>
      <w:tr w:rsidR="00A65254" w:rsidRPr="00A65254">
        <w:tc>
          <w:tcPr>
            <w:tcW w:w="3543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模板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DNA</w:t>
            </w:r>
          </w:p>
        </w:tc>
        <w:tc>
          <w:tcPr>
            <w:tcW w:w="2321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 xml:space="preserve">5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ng</w:t>
            </w:r>
            <w:proofErr w:type="spellEnd"/>
            <w:r w:rsidRPr="00A65254">
              <w:rPr>
                <w:rFonts w:ascii="Arial" w:eastAsia="宋体" w:hAnsi="Arial" w:cs="Arial"/>
                <w:sz w:val="24"/>
                <w:szCs w:val="24"/>
              </w:rPr>
              <w:t>/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</w:tr>
    </w:tbl>
    <w:p w:rsidR="00404BD1" w:rsidRPr="00A65254" w:rsidRDefault="00404BD1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</w:p>
    <w:p w:rsidR="00404BD1" w:rsidRPr="00A65254" w:rsidRDefault="00947230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eastAsia="宋体" w:hAnsi="Arial" w:cs="Arial"/>
          <w:b/>
          <w:bCs/>
          <w:sz w:val="24"/>
          <w:szCs w:val="24"/>
        </w:rPr>
      </w:pP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表</w:t>
      </w: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 xml:space="preserve">2. </w:t>
      </w:r>
      <w:proofErr w:type="spellStart"/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Taqman</w:t>
      </w:r>
      <w:proofErr w:type="spellEnd"/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探针法</w:t>
      </w:r>
      <w:r w:rsidRPr="00A65254">
        <w:rPr>
          <w:rFonts w:ascii="Arial" w:eastAsia="宋体" w:hAnsi="Arial" w:cs="Arial"/>
          <w:b/>
          <w:bCs/>
          <w:sz w:val="24"/>
          <w:szCs w:val="24"/>
        </w:rPr>
        <w:t>荧光定量的体系（</w:t>
      </w:r>
      <w:r w:rsidRPr="00A65254">
        <w:rPr>
          <w:rFonts w:ascii="Arial" w:eastAsia="宋体" w:hAnsi="Arial" w:cs="Arial"/>
          <w:b/>
          <w:bCs/>
          <w:sz w:val="24"/>
          <w:szCs w:val="24"/>
        </w:rPr>
        <w:t xml:space="preserve">100 </w:t>
      </w:r>
      <w:proofErr w:type="spellStart"/>
      <w:r w:rsidRPr="00A65254">
        <w:rPr>
          <w:rFonts w:ascii="Arial" w:eastAsia="宋体" w:hAnsi="Arial" w:cs="Arial"/>
          <w:b/>
          <w:bCs/>
          <w:sz w:val="24"/>
          <w:szCs w:val="24"/>
        </w:rPr>
        <w:t>nl</w:t>
      </w:r>
      <w:proofErr w:type="spellEnd"/>
      <w:r w:rsidRPr="00A65254">
        <w:rPr>
          <w:rFonts w:ascii="Arial" w:eastAsia="宋体" w:hAnsi="Arial" w:cs="Arial"/>
          <w:b/>
          <w:bCs/>
          <w:sz w:val="24"/>
          <w:szCs w:val="24"/>
        </w:rPr>
        <w:t>）</w:t>
      </w: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4450"/>
        <w:gridCol w:w="2462"/>
      </w:tblGrid>
      <w:tr w:rsidR="00A65254" w:rsidRPr="00A65254">
        <w:tc>
          <w:tcPr>
            <w:tcW w:w="4450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Reagent</w:t>
            </w:r>
          </w:p>
        </w:tc>
        <w:tc>
          <w:tcPr>
            <w:tcW w:w="2462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Final concentration</w:t>
            </w:r>
          </w:p>
        </w:tc>
      </w:tr>
      <w:tr w:rsidR="00A65254" w:rsidRPr="00A65254">
        <w:tc>
          <w:tcPr>
            <w:tcW w:w="4450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Forward primer</w:t>
            </w:r>
          </w:p>
        </w:tc>
        <w:tc>
          <w:tcPr>
            <w:tcW w:w="2462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0.9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μ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M</w:t>
            </w:r>
            <w:proofErr w:type="spellEnd"/>
          </w:p>
        </w:tc>
      </w:tr>
      <w:tr w:rsidR="00A65254" w:rsidRPr="00A65254">
        <w:tc>
          <w:tcPr>
            <w:tcW w:w="4450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Reverse primer</w:t>
            </w:r>
          </w:p>
        </w:tc>
        <w:tc>
          <w:tcPr>
            <w:tcW w:w="2462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0.9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μ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M</w:t>
            </w:r>
            <w:proofErr w:type="spellEnd"/>
          </w:p>
        </w:tc>
      </w:tr>
      <w:tr w:rsidR="00A65254" w:rsidRPr="00A65254">
        <w:tc>
          <w:tcPr>
            <w:tcW w:w="4450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Probe</w:t>
            </w:r>
          </w:p>
        </w:tc>
        <w:tc>
          <w:tcPr>
            <w:tcW w:w="2462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0.25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μ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M</w:t>
            </w:r>
            <w:proofErr w:type="spellEnd"/>
          </w:p>
        </w:tc>
      </w:tr>
      <w:tr w:rsidR="00A65254" w:rsidRPr="00A65254">
        <w:tc>
          <w:tcPr>
            <w:tcW w:w="4450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TaqMan</w:t>
            </w:r>
            <w:proofErr w:type="spellEnd"/>
            <w:r w:rsidRPr="00A65254">
              <w:rPr>
                <w:rFonts w:ascii="Arial" w:eastAsia="宋体" w:hAnsi="Arial" w:cs="Arial"/>
                <w:sz w:val="24"/>
                <w:szCs w:val="24"/>
              </w:rPr>
              <w:t xml:space="preserve"> Gene Expression Master Mix</w:t>
            </w:r>
          </w:p>
        </w:tc>
        <w:tc>
          <w:tcPr>
            <w:tcW w:w="2462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1×</w:t>
            </w:r>
          </w:p>
        </w:tc>
      </w:tr>
      <w:tr w:rsidR="00A65254" w:rsidRPr="00A65254">
        <w:tc>
          <w:tcPr>
            <w:tcW w:w="4450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BSA</w:t>
            </w: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 (50 mg/ml)</w:t>
            </w:r>
          </w:p>
        </w:tc>
        <w:tc>
          <w:tcPr>
            <w:tcW w:w="2462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1 mg/ml</w:t>
            </w:r>
          </w:p>
        </w:tc>
      </w:tr>
      <w:tr w:rsidR="00A65254" w:rsidRPr="00A65254">
        <w:tc>
          <w:tcPr>
            <w:tcW w:w="4450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模板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DNA</w:t>
            </w:r>
          </w:p>
        </w:tc>
        <w:tc>
          <w:tcPr>
            <w:tcW w:w="2462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 xml:space="preserve">5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ng</w:t>
            </w:r>
            <w:proofErr w:type="spellEnd"/>
            <w:r w:rsidRPr="00A65254">
              <w:rPr>
                <w:rFonts w:ascii="Arial" w:eastAsia="宋体" w:hAnsi="Arial" w:cs="Arial"/>
                <w:sz w:val="24"/>
                <w:szCs w:val="24"/>
              </w:rPr>
              <w:t>/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</w:tr>
    </w:tbl>
    <w:p w:rsidR="00404BD1" w:rsidRPr="00A65254" w:rsidRDefault="00404BD1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</w:p>
    <w:p w:rsidR="00404BD1" w:rsidRPr="00A65254" w:rsidRDefault="00947230">
      <w:pPr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</w:rPr>
      </w:pPr>
      <w:r w:rsidRPr="00A65254">
        <w:rPr>
          <w:rFonts w:ascii="Arial" w:eastAsia="宋体" w:hAnsi="Arial" w:cs="Arial"/>
          <w:sz w:val="24"/>
          <w:szCs w:val="24"/>
        </w:rPr>
        <w:t>根据以上终浓度分别配制</w:t>
      </w:r>
      <w:r w:rsidRPr="00A65254">
        <w:rPr>
          <w:rFonts w:ascii="Arial" w:eastAsia="宋体" w:hAnsi="Arial" w:cs="Arial"/>
          <w:sz w:val="24"/>
          <w:szCs w:val="24"/>
        </w:rPr>
        <w:t>sample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plate mix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assay plate mix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。</w:t>
      </w:r>
      <w:r w:rsidRPr="00A65254">
        <w:rPr>
          <w:rFonts w:ascii="Arial" w:eastAsia="宋体" w:hAnsi="Arial" w:cs="Arial"/>
          <w:sz w:val="24"/>
          <w:szCs w:val="24"/>
        </w:rPr>
        <w:t>以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72</w:t>
      </w:r>
      <w:r w:rsidRPr="00A65254">
        <w:rPr>
          <w:rFonts w:ascii="Arial" w:eastAsia="宋体" w:hAnsi="Arial" w:cs="Arial"/>
          <w:sz w:val="24"/>
          <w:szCs w:val="24"/>
        </w:rPr>
        <w:t xml:space="preserve"> assays×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7</w:t>
      </w:r>
      <w:r w:rsidRPr="00A65254">
        <w:rPr>
          <w:rFonts w:ascii="Arial" w:eastAsia="宋体" w:hAnsi="Arial" w:cs="Arial"/>
          <w:sz w:val="24"/>
          <w:szCs w:val="24"/>
        </w:rPr>
        <w:t>2 samples</w:t>
      </w:r>
      <w:r w:rsidRPr="00A65254">
        <w:rPr>
          <w:rFonts w:ascii="Arial" w:eastAsia="宋体" w:hAnsi="Arial" w:cs="Arial"/>
          <w:sz w:val="24"/>
          <w:szCs w:val="24"/>
        </w:rPr>
        <w:t>的阵列为例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：</w:t>
      </w:r>
    </w:p>
    <w:p w:rsidR="00404BD1" w:rsidRPr="00A65254" w:rsidRDefault="00947230">
      <w:pPr>
        <w:numPr>
          <w:ilvl w:val="1"/>
          <w:numId w:val="15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</w:rPr>
      </w:pPr>
      <w:r w:rsidRPr="00A65254">
        <w:rPr>
          <w:rFonts w:ascii="Arial" w:eastAsia="宋体" w:hAnsi="Arial" w:cs="Arial"/>
          <w:sz w:val="24"/>
          <w:szCs w:val="24"/>
        </w:rPr>
        <w:t>配制</w:t>
      </w:r>
      <w:r w:rsidRPr="00A65254">
        <w:rPr>
          <w:rFonts w:ascii="Arial" w:eastAsia="宋体" w:hAnsi="Arial" w:cs="Arial"/>
          <w:sz w:val="24"/>
          <w:szCs w:val="24"/>
        </w:rPr>
        <w:t>sample PCR reagent Mix</w:t>
      </w:r>
      <w:r w:rsidRPr="00A65254">
        <w:rPr>
          <w:rFonts w:ascii="Arial" w:eastAsia="宋体" w:hAnsi="Arial" w:cs="Arial"/>
          <w:sz w:val="24"/>
          <w:szCs w:val="24"/>
        </w:rPr>
        <w:t>（一个</w:t>
      </w:r>
      <w:r w:rsidRPr="00A65254">
        <w:rPr>
          <w:rFonts w:ascii="Arial" w:eastAsia="宋体" w:hAnsi="Arial" w:cs="Arial"/>
          <w:sz w:val="24"/>
          <w:szCs w:val="24"/>
        </w:rPr>
        <w:t>chip</w:t>
      </w:r>
      <w:r w:rsidRPr="00A65254">
        <w:rPr>
          <w:rFonts w:ascii="Arial" w:eastAsia="宋体" w:hAnsi="Arial" w:cs="Arial"/>
          <w:sz w:val="24"/>
          <w:szCs w:val="24"/>
        </w:rPr>
        <w:t>的量）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。如表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：</w:t>
      </w:r>
    </w:p>
    <w:p w:rsidR="00404BD1" w:rsidRPr="007A2EC7" w:rsidRDefault="00947230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eastAsia="宋体" w:hAnsi="Arial" w:cs="Arial"/>
          <w:b/>
          <w:bCs/>
          <w:sz w:val="24"/>
          <w:szCs w:val="24"/>
        </w:rPr>
      </w:pP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表</w:t>
      </w: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3 Sample PC</w:t>
      </w:r>
      <w:r w:rsidRPr="007A2EC7">
        <w:rPr>
          <w:rFonts w:ascii="Arial" w:eastAsia="宋体" w:hAnsi="Arial" w:cs="Arial"/>
          <w:b/>
          <w:bCs/>
          <w:sz w:val="24"/>
          <w:szCs w:val="24"/>
          <w:lang w:eastAsia="zh-CN"/>
        </w:rPr>
        <w:t>R reagent Mix</w:t>
      </w:r>
      <w:r w:rsidRPr="007A2EC7">
        <w:rPr>
          <w:rFonts w:ascii="Arial" w:eastAsia="宋体" w:hAnsi="Arial" w:cs="Arial"/>
          <w:b/>
          <w:bCs/>
          <w:sz w:val="24"/>
          <w:szCs w:val="24"/>
          <w:lang w:eastAsia="zh-CN"/>
        </w:rPr>
        <w:t>的配制</w:t>
      </w: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3487"/>
        <w:gridCol w:w="2239"/>
        <w:gridCol w:w="1641"/>
        <w:gridCol w:w="1499"/>
      </w:tblGrid>
      <w:tr w:rsidR="00A65254" w:rsidRPr="007A2EC7" w:rsidTr="00974377">
        <w:tc>
          <w:tcPr>
            <w:tcW w:w="3487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</w:rPr>
              <w:t>SYBR Green I Master Mix</w:t>
            </w: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/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Taqman</w:t>
            </w:r>
            <w:proofErr w:type="spellEnd"/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 Master mix</w:t>
            </w:r>
          </w:p>
        </w:tc>
        <w:tc>
          <w:tcPr>
            <w:tcW w:w="2239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</w:rPr>
              <w:t>BSA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>（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>50</w:t>
            </w: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 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>mg/ml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>）</w:t>
            </w:r>
          </w:p>
        </w:tc>
        <w:tc>
          <w:tcPr>
            <w:tcW w:w="1641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PCR-grade 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>H</w:t>
            </w:r>
            <w:r w:rsidRPr="007A2EC7">
              <w:rPr>
                <w:rFonts w:ascii="Arial" w:eastAsia="宋体" w:hAnsi="Arial" w:cs="Arial"/>
                <w:sz w:val="24"/>
                <w:szCs w:val="24"/>
                <w:vertAlign w:val="subscript"/>
              </w:rPr>
              <w:t>2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>O</w:t>
            </w:r>
          </w:p>
        </w:tc>
        <w:tc>
          <w:tcPr>
            <w:tcW w:w="1499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</w:rPr>
              <w:t>Total volume</w:t>
            </w:r>
          </w:p>
        </w:tc>
      </w:tr>
      <w:tr w:rsidR="00A65254" w:rsidRPr="007A2EC7" w:rsidTr="00974377">
        <w:tc>
          <w:tcPr>
            <w:tcW w:w="3487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652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7A2EC7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2239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20.9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7A2EC7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1641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370.1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7A2EC7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1499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1043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7A2EC7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</w:tr>
    </w:tbl>
    <w:p w:rsidR="00404BD1" w:rsidRPr="007A2EC7" w:rsidRDefault="00974377" w:rsidP="00974377">
      <w:pPr>
        <w:numPr>
          <w:ilvl w:val="2"/>
          <w:numId w:val="15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将配置好的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 xml:space="preserve"> PCR regent mix 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混合均匀，</w:t>
      </w:r>
      <w:r w:rsidR="003A793E" w:rsidRPr="007A2EC7">
        <w:rPr>
          <w:rFonts w:ascii="Arial" w:eastAsia="宋体" w:hAnsi="Arial" w:cs="Arial" w:hint="eastAsia"/>
          <w:sz w:val="24"/>
          <w:szCs w:val="24"/>
          <w:lang w:eastAsia="zh-CN"/>
        </w:rPr>
        <w:t>转移进加样槽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中，</w:t>
      </w:r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>按照</w:t>
      </w:r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>72 assays×72 samples</w:t>
      </w:r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>的阵列样品分布格局（如图</w:t>
      </w:r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>1</w:t>
      </w:r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>）</w:t>
      </w:r>
      <w:r w:rsidR="003A793E" w:rsidRPr="007A2EC7">
        <w:rPr>
          <w:rFonts w:ascii="Arial" w:eastAsia="宋体" w:hAnsi="Arial" w:cs="Arial"/>
          <w:sz w:val="24"/>
          <w:szCs w:val="24"/>
          <w:lang w:eastAsia="zh-CN"/>
        </w:rPr>
        <w:t>避光条件下</w:t>
      </w:r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>在</w:t>
      </w:r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 xml:space="preserve">384-well sample </w:t>
      </w:r>
      <w:proofErr w:type="spellStart"/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>sourceplate</w:t>
      </w:r>
      <w:proofErr w:type="spellEnd"/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>上分配体积，每个孔中加样体积如下：</w:t>
      </w:r>
    </w:p>
    <w:p w:rsidR="00404BD1" w:rsidRPr="007A2EC7" w:rsidRDefault="00947230">
      <w:p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</w:rPr>
      </w:pPr>
      <w:r w:rsidRPr="007A2EC7">
        <w:rPr>
          <w:rFonts w:ascii="Arial" w:eastAsia="宋体" w:hAnsi="Arial" w:cs="Arial"/>
          <w:sz w:val="24"/>
          <w:szCs w:val="24"/>
        </w:rPr>
        <w:t>Prepared mix   1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2.4</w:t>
      </w:r>
      <w:r w:rsidRPr="007A2EC7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7A2EC7">
        <w:rPr>
          <w:rFonts w:ascii="Arial" w:eastAsia="宋体" w:hAnsi="Arial" w:cs="Arial"/>
          <w:sz w:val="24"/>
          <w:szCs w:val="24"/>
        </w:rPr>
        <w:t>ul</w:t>
      </w:r>
      <w:proofErr w:type="spellEnd"/>
    </w:p>
    <w:p w:rsidR="00404BD1" w:rsidRPr="007A2EC7" w:rsidRDefault="00947230">
      <w:p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</w:rPr>
      </w:pPr>
      <w:r w:rsidRPr="007A2EC7">
        <w:rPr>
          <w:rFonts w:ascii="Arial" w:eastAsia="宋体" w:hAnsi="Arial" w:cs="Arial"/>
          <w:sz w:val="24"/>
          <w:szCs w:val="24"/>
        </w:rPr>
        <w:t>DNA</w:t>
      </w:r>
      <w:r w:rsidRPr="007A2EC7">
        <w:rPr>
          <w:rFonts w:ascii="Arial" w:eastAsia="宋体" w:hAnsi="Arial" w:cs="Arial"/>
          <w:sz w:val="24"/>
          <w:szCs w:val="24"/>
        </w:rPr>
        <w:t>样品</w:t>
      </w:r>
      <w:r w:rsidRPr="007A2EC7">
        <w:rPr>
          <w:rFonts w:ascii="Arial" w:eastAsia="宋体" w:hAnsi="Arial" w:cs="Arial"/>
          <w:sz w:val="24"/>
          <w:szCs w:val="24"/>
        </w:rPr>
        <w:t xml:space="preserve">      3.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1</w:t>
      </w:r>
      <w:r w:rsidRPr="007A2EC7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7A2EC7">
        <w:rPr>
          <w:rFonts w:ascii="Arial" w:eastAsia="宋体" w:hAnsi="Arial" w:cs="Arial"/>
          <w:sz w:val="24"/>
          <w:szCs w:val="24"/>
        </w:rPr>
        <w:t>ul</w:t>
      </w:r>
      <w:proofErr w:type="spellEnd"/>
    </w:p>
    <w:p w:rsidR="00404BD1" w:rsidRPr="007A2EC7" w:rsidRDefault="00947230">
      <w:p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i/>
          <w:iCs/>
          <w:sz w:val="24"/>
          <w:szCs w:val="24"/>
          <w:lang w:eastAsia="zh-CN"/>
        </w:rPr>
        <w:t>注：排枪使用</w:t>
      </w:r>
      <w:r w:rsidRPr="007A2EC7">
        <w:rPr>
          <w:rFonts w:ascii="Arial" w:eastAsia="宋体" w:hAnsi="Arial" w:cs="Arial"/>
          <w:i/>
          <w:iCs/>
          <w:sz w:val="24"/>
          <w:szCs w:val="24"/>
          <w:lang w:eastAsia="zh-CN"/>
        </w:rPr>
        <w:t>“</w:t>
      </w:r>
      <w:r w:rsidRPr="007A2EC7">
        <w:rPr>
          <w:rFonts w:ascii="Arial" w:eastAsia="宋体" w:hAnsi="Arial" w:cs="Arial"/>
          <w:i/>
          <w:iCs/>
          <w:sz w:val="24"/>
          <w:szCs w:val="24"/>
          <w:lang w:eastAsia="zh-CN"/>
        </w:rPr>
        <w:t>倒吸法</w:t>
      </w:r>
      <w:r w:rsidRPr="007A2EC7">
        <w:rPr>
          <w:rFonts w:ascii="Arial" w:eastAsia="宋体" w:hAnsi="Arial" w:cs="Arial"/>
          <w:i/>
          <w:iCs/>
          <w:sz w:val="24"/>
          <w:szCs w:val="24"/>
          <w:lang w:eastAsia="zh-CN"/>
        </w:rPr>
        <w:t>”</w:t>
      </w:r>
      <w:r w:rsidRPr="007A2EC7">
        <w:rPr>
          <w:rFonts w:ascii="Arial" w:eastAsia="宋体" w:hAnsi="Arial" w:cs="Arial"/>
          <w:i/>
          <w:iCs/>
          <w:sz w:val="24"/>
          <w:szCs w:val="24"/>
          <w:lang w:eastAsia="zh-CN"/>
        </w:rPr>
        <w:t>防止气泡产生，同时避光操作</w:t>
      </w:r>
    </w:p>
    <w:p w:rsidR="00404BD1" w:rsidRPr="007A2EC7" w:rsidRDefault="00947230">
      <w:pPr>
        <w:numPr>
          <w:ilvl w:val="1"/>
          <w:numId w:val="15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</w:rPr>
      </w:pPr>
      <w:r w:rsidRPr="007A2EC7">
        <w:rPr>
          <w:rFonts w:ascii="Arial" w:eastAsia="宋体" w:hAnsi="Arial" w:cs="Arial"/>
          <w:sz w:val="24"/>
          <w:szCs w:val="24"/>
        </w:rPr>
        <w:t>配制</w:t>
      </w:r>
      <w:r w:rsidRPr="007A2EC7">
        <w:rPr>
          <w:rFonts w:ascii="Arial" w:eastAsia="宋体" w:hAnsi="Arial" w:cs="Arial"/>
          <w:sz w:val="24"/>
          <w:szCs w:val="24"/>
        </w:rPr>
        <w:t>assay PCR reagent Mix</w:t>
      </w:r>
      <w:r w:rsidRPr="007A2EC7">
        <w:rPr>
          <w:rFonts w:ascii="Arial" w:eastAsia="宋体" w:hAnsi="Arial" w:cs="Arial"/>
          <w:sz w:val="24"/>
          <w:szCs w:val="24"/>
        </w:rPr>
        <w:t>（一个</w:t>
      </w:r>
      <w:r w:rsidRPr="007A2EC7">
        <w:rPr>
          <w:rFonts w:ascii="Arial" w:eastAsia="宋体" w:hAnsi="Arial" w:cs="Arial"/>
          <w:sz w:val="24"/>
          <w:szCs w:val="24"/>
        </w:rPr>
        <w:t>chip</w:t>
      </w:r>
      <w:r w:rsidRPr="007A2EC7">
        <w:rPr>
          <w:rFonts w:ascii="Arial" w:eastAsia="宋体" w:hAnsi="Arial" w:cs="Arial"/>
          <w:sz w:val="24"/>
          <w:szCs w:val="24"/>
        </w:rPr>
        <w:t>的量）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。</w:t>
      </w:r>
      <w:r w:rsidRPr="007A2EC7">
        <w:rPr>
          <w:rFonts w:ascii="Arial" w:eastAsia="宋体" w:hAnsi="Arial" w:cs="Arial"/>
          <w:sz w:val="24"/>
          <w:szCs w:val="24"/>
        </w:rPr>
        <w:t>如表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4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（</w:t>
      </w:r>
      <w:r w:rsidRPr="007A2EC7">
        <w:rPr>
          <w:rFonts w:ascii="Arial" w:eastAsia="宋体" w:hAnsi="Arial" w:cs="Arial"/>
          <w:sz w:val="24"/>
          <w:szCs w:val="24"/>
        </w:rPr>
        <w:t>SYBR Green</w:t>
      </w:r>
      <w:r w:rsidRPr="007A2EC7">
        <w:rPr>
          <w:rFonts w:ascii="Arial" w:eastAsia="宋体" w:hAnsi="Arial" w:cs="Arial"/>
          <w:sz w:val="24"/>
          <w:szCs w:val="24"/>
        </w:rPr>
        <w:t>染料法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）和表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5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（</w:t>
      </w:r>
      <w:proofErr w:type="spellStart"/>
      <w:r w:rsidRPr="007A2EC7">
        <w:rPr>
          <w:rFonts w:ascii="Arial" w:eastAsia="宋体" w:hAnsi="Arial" w:cs="Arial"/>
          <w:sz w:val="24"/>
          <w:szCs w:val="24"/>
        </w:rPr>
        <w:t>Taqman</w:t>
      </w:r>
      <w:proofErr w:type="spellEnd"/>
      <w:r w:rsidRPr="007A2EC7">
        <w:rPr>
          <w:rFonts w:ascii="Arial" w:eastAsia="宋体" w:hAnsi="Arial" w:cs="Arial"/>
          <w:sz w:val="24"/>
          <w:szCs w:val="24"/>
        </w:rPr>
        <w:t>探针法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）</w:t>
      </w:r>
      <w:r w:rsidRPr="007A2EC7">
        <w:rPr>
          <w:rFonts w:ascii="Arial" w:eastAsia="宋体" w:hAnsi="Arial" w:cs="Arial"/>
          <w:sz w:val="24"/>
          <w:szCs w:val="24"/>
        </w:rPr>
        <w:t>：</w:t>
      </w:r>
    </w:p>
    <w:p w:rsidR="00404BD1" w:rsidRPr="00A65254" w:rsidRDefault="00947230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eastAsia="宋体" w:hAnsi="Arial" w:cs="Arial"/>
          <w:b/>
          <w:bCs/>
          <w:sz w:val="24"/>
          <w:szCs w:val="24"/>
        </w:rPr>
      </w:pPr>
      <w:r w:rsidRPr="007A2EC7">
        <w:rPr>
          <w:rFonts w:ascii="Arial" w:eastAsia="宋体" w:hAnsi="Arial" w:cs="Arial"/>
          <w:b/>
          <w:bCs/>
          <w:sz w:val="24"/>
          <w:szCs w:val="24"/>
          <w:lang w:eastAsia="zh-CN"/>
        </w:rPr>
        <w:t>表</w:t>
      </w:r>
      <w:r w:rsidRPr="007A2EC7">
        <w:rPr>
          <w:rFonts w:ascii="Arial" w:eastAsia="宋体" w:hAnsi="Arial" w:cs="Arial"/>
          <w:b/>
          <w:bCs/>
          <w:sz w:val="24"/>
          <w:szCs w:val="24"/>
          <w:lang w:eastAsia="zh-CN"/>
        </w:rPr>
        <w:t xml:space="preserve">4 </w:t>
      </w:r>
      <w:r w:rsidRPr="007A2EC7">
        <w:rPr>
          <w:rFonts w:ascii="Arial" w:eastAsia="宋体" w:hAnsi="Arial" w:cs="Arial"/>
          <w:b/>
          <w:bCs/>
          <w:sz w:val="24"/>
          <w:szCs w:val="24"/>
        </w:rPr>
        <w:t xml:space="preserve"> SYBR Green</w:t>
      </w:r>
      <w:r w:rsidRPr="007A2EC7">
        <w:rPr>
          <w:rFonts w:ascii="Arial" w:eastAsia="宋体" w:hAnsi="Arial" w:cs="Arial"/>
          <w:b/>
          <w:bCs/>
          <w:sz w:val="24"/>
          <w:szCs w:val="24"/>
        </w:rPr>
        <w:t>染料法</w:t>
      </w:r>
      <w:r w:rsidRPr="007A2EC7">
        <w:rPr>
          <w:rFonts w:ascii="Arial" w:eastAsia="宋体" w:hAnsi="Arial" w:cs="Arial"/>
          <w:b/>
          <w:bCs/>
          <w:sz w:val="24"/>
          <w:szCs w:val="24"/>
        </w:rPr>
        <w:t>assay PCR re</w:t>
      </w:r>
      <w:r w:rsidRPr="00A65254">
        <w:rPr>
          <w:rFonts w:ascii="Arial" w:eastAsia="宋体" w:hAnsi="Arial" w:cs="Arial"/>
          <w:b/>
          <w:bCs/>
          <w:sz w:val="24"/>
          <w:szCs w:val="24"/>
        </w:rPr>
        <w:t>agent Mix</w:t>
      </w:r>
      <w:r w:rsidRPr="00A65254">
        <w:rPr>
          <w:rFonts w:ascii="Arial" w:eastAsia="宋体" w:hAnsi="Arial" w:cs="Arial"/>
          <w:b/>
          <w:bCs/>
          <w:sz w:val="24"/>
          <w:szCs w:val="24"/>
        </w:rPr>
        <w:t>的配制</w:t>
      </w: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4111"/>
        <w:gridCol w:w="1864"/>
        <w:gridCol w:w="2003"/>
      </w:tblGrid>
      <w:tr w:rsidR="00A65254" w:rsidRPr="00A65254">
        <w:tc>
          <w:tcPr>
            <w:tcW w:w="4111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lastRenderedPageBreak/>
              <w:t>SYBR Green I Master Mix</w:t>
            </w:r>
          </w:p>
        </w:tc>
        <w:tc>
          <w:tcPr>
            <w:tcW w:w="1864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PCR-grade 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H</w:t>
            </w:r>
            <w:r w:rsidRPr="00A65254">
              <w:rPr>
                <w:rFonts w:ascii="Arial" w:eastAsia="宋体" w:hAnsi="Arial" w:cs="Arial"/>
                <w:sz w:val="24"/>
                <w:szCs w:val="24"/>
                <w:vertAlign w:val="subscript"/>
              </w:rPr>
              <w:t>2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O</w:t>
            </w:r>
          </w:p>
        </w:tc>
        <w:tc>
          <w:tcPr>
            <w:tcW w:w="2003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Total volume</w:t>
            </w:r>
          </w:p>
        </w:tc>
      </w:tr>
      <w:tr w:rsidR="00A65254" w:rsidRPr="00A65254">
        <w:tc>
          <w:tcPr>
            <w:tcW w:w="4111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652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1864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391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2003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1043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</w:tr>
    </w:tbl>
    <w:p w:rsidR="00404BD1" w:rsidRPr="00A65254" w:rsidRDefault="00404BD1">
      <w:pPr>
        <w:adjustRightInd w:val="0"/>
        <w:snapToGrid w:val="0"/>
        <w:spacing w:line="360" w:lineRule="auto"/>
        <w:ind w:left="420"/>
        <w:jc w:val="both"/>
        <w:rPr>
          <w:rFonts w:ascii="Arial" w:eastAsia="宋体" w:hAnsi="Arial" w:cs="Arial"/>
          <w:sz w:val="24"/>
          <w:szCs w:val="24"/>
          <w:lang w:eastAsia="zh-CN"/>
        </w:rPr>
      </w:pPr>
    </w:p>
    <w:p w:rsidR="00404BD1" w:rsidRPr="00A65254" w:rsidRDefault="00947230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eastAsia="宋体" w:hAnsi="Arial" w:cs="Arial"/>
          <w:sz w:val="24"/>
          <w:szCs w:val="24"/>
        </w:rPr>
      </w:pP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>表</w:t>
      </w:r>
      <w:r w:rsidRPr="00A65254">
        <w:rPr>
          <w:rFonts w:ascii="Arial" w:eastAsia="宋体" w:hAnsi="Arial" w:cs="Arial"/>
          <w:b/>
          <w:bCs/>
          <w:sz w:val="24"/>
          <w:szCs w:val="24"/>
          <w:lang w:eastAsia="zh-CN"/>
        </w:rPr>
        <w:t xml:space="preserve">5 </w:t>
      </w:r>
      <w:r w:rsidRPr="00A65254">
        <w:rPr>
          <w:rFonts w:ascii="Arial" w:eastAsia="宋体" w:hAnsi="Arial" w:cs="Arial"/>
          <w:b/>
          <w:bCs/>
          <w:sz w:val="24"/>
          <w:szCs w:val="24"/>
        </w:rPr>
        <w:t xml:space="preserve"> </w:t>
      </w:r>
      <w:proofErr w:type="spellStart"/>
      <w:r w:rsidRPr="00A65254">
        <w:rPr>
          <w:rFonts w:ascii="Arial" w:eastAsia="宋体" w:hAnsi="Arial" w:cs="Arial"/>
          <w:b/>
          <w:bCs/>
          <w:sz w:val="24"/>
          <w:szCs w:val="24"/>
        </w:rPr>
        <w:t>Taqman</w:t>
      </w:r>
      <w:proofErr w:type="spellEnd"/>
      <w:r w:rsidRPr="00A65254">
        <w:rPr>
          <w:rFonts w:ascii="Arial" w:eastAsia="宋体" w:hAnsi="Arial" w:cs="Arial"/>
          <w:b/>
          <w:bCs/>
          <w:sz w:val="24"/>
          <w:szCs w:val="24"/>
        </w:rPr>
        <w:t>探针法</w:t>
      </w:r>
      <w:r w:rsidRPr="00A65254">
        <w:rPr>
          <w:rFonts w:ascii="Arial" w:eastAsia="宋体" w:hAnsi="Arial" w:cs="Arial"/>
          <w:b/>
          <w:bCs/>
          <w:sz w:val="24"/>
          <w:szCs w:val="24"/>
        </w:rPr>
        <w:t>assay PCR reagent Mix</w:t>
      </w:r>
      <w:r w:rsidRPr="00A65254">
        <w:rPr>
          <w:rFonts w:ascii="Arial" w:eastAsia="宋体" w:hAnsi="Arial" w:cs="Arial"/>
          <w:b/>
          <w:bCs/>
          <w:sz w:val="24"/>
          <w:szCs w:val="24"/>
        </w:rPr>
        <w:t>的配制</w:t>
      </w: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2987"/>
        <w:gridCol w:w="1842"/>
        <w:gridCol w:w="1985"/>
        <w:gridCol w:w="1708"/>
      </w:tblGrid>
      <w:tr w:rsidR="00A65254" w:rsidRPr="00A65254">
        <w:tc>
          <w:tcPr>
            <w:tcW w:w="2987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proofErr w:type="spellStart"/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>Taqman</w:t>
            </w:r>
            <w:proofErr w:type="spellEnd"/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 Master mix</w:t>
            </w:r>
          </w:p>
        </w:tc>
        <w:tc>
          <w:tcPr>
            <w:tcW w:w="1842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ROX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（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50×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  <w:lang w:eastAsia="zh-CN"/>
              </w:rPr>
              <w:t xml:space="preserve">PCR-grade 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H</w:t>
            </w:r>
            <w:r w:rsidRPr="00A65254">
              <w:rPr>
                <w:rFonts w:ascii="Arial" w:eastAsia="宋体" w:hAnsi="Arial" w:cs="Arial"/>
                <w:sz w:val="24"/>
                <w:szCs w:val="24"/>
                <w:vertAlign w:val="subscript"/>
              </w:rPr>
              <w:t>2</w:t>
            </w:r>
            <w:r w:rsidRPr="00A65254">
              <w:rPr>
                <w:rFonts w:ascii="Arial" w:eastAsia="宋体" w:hAnsi="Arial" w:cs="Arial"/>
                <w:sz w:val="24"/>
                <w:szCs w:val="24"/>
              </w:rPr>
              <w:t>O</w:t>
            </w:r>
          </w:p>
        </w:tc>
        <w:tc>
          <w:tcPr>
            <w:tcW w:w="1708" w:type="dxa"/>
          </w:tcPr>
          <w:p w:rsidR="00404BD1" w:rsidRPr="00A65254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A65254">
              <w:rPr>
                <w:rFonts w:ascii="Arial" w:eastAsia="宋体" w:hAnsi="Arial" w:cs="Arial"/>
                <w:sz w:val="24"/>
                <w:szCs w:val="24"/>
              </w:rPr>
              <w:t>Total volume</w:t>
            </w:r>
          </w:p>
        </w:tc>
      </w:tr>
      <w:tr w:rsidR="00A65254" w:rsidRPr="007A2EC7">
        <w:tc>
          <w:tcPr>
            <w:tcW w:w="2987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652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7A2EC7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1842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26.1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7A2EC7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1985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365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7A2EC7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1708" w:type="dxa"/>
          </w:tcPr>
          <w:p w:rsidR="00404BD1" w:rsidRPr="007A2EC7" w:rsidRDefault="00947230">
            <w:pPr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sz w:val="24"/>
                <w:szCs w:val="24"/>
              </w:rPr>
            </w:pPr>
            <w:r w:rsidRPr="007A2EC7">
              <w:rPr>
                <w:rFonts w:ascii="Arial" w:eastAsia="宋体" w:hAnsi="Arial" w:cs="Arial"/>
                <w:sz w:val="24"/>
                <w:szCs w:val="24"/>
              </w:rPr>
              <w:t>1</w:t>
            </w:r>
            <w:r w:rsidRPr="007A2EC7">
              <w:rPr>
                <w:rFonts w:ascii="Arial" w:eastAsia="宋体" w:hAnsi="Arial" w:cs="Arial"/>
                <w:sz w:val="24"/>
                <w:szCs w:val="24"/>
                <w:lang w:eastAsia="zh-CN"/>
              </w:rPr>
              <w:t>043</w:t>
            </w:r>
            <w:r w:rsidRPr="007A2EC7">
              <w:rPr>
                <w:rFonts w:ascii="Arial" w:eastAsia="宋体" w:hAnsi="Arial" w:cs="Arial"/>
                <w:sz w:val="24"/>
                <w:szCs w:val="24"/>
              </w:rPr>
              <w:t xml:space="preserve"> </w:t>
            </w:r>
            <w:proofErr w:type="spellStart"/>
            <w:r w:rsidRPr="007A2EC7">
              <w:rPr>
                <w:rFonts w:ascii="Arial" w:eastAsia="宋体" w:hAnsi="Arial" w:cs="Arial"/>
                <w:sz w:val="24"/>
                <w:szCs w:val="24"/>
              </w:rPr>
              <w:t>ul</w:t>
            </w:r>
            <w:proofErr w:type="spellEnd"/>
          </w:p>
        </w:tc>
      </w:tr>
    </w:tbl>
    <w:p w:rsidR="00404BD1" w:rsidRPr="007A2EC7" w:rsidRDefault="00404BD1">
      <w:pPr>
        <w:adjustRightInd w:val="0"/>
        <w:snapToGrid w:val="0"/>
        <w:spacing w:line="360" w:lineRule="auto"/>
        <w:ind w:left="397"/>
        <w:jc w:val="both"/>
        <w:rPr>
          <w:rFonts w:ascii="Arial" w:eastAsia="宋体" w:hAnsi="Arial" w:cs="Arial"/>
          <w:sz w:val="24"/>
          <w:szCs w:val="24"/>
        </w:rPr>
      </w:pPr>
    </w:p>
    <w:p w:rsidR="00404BD1" w:rsidRPr="007A2EC7" w:rsidRDefault="00974377" w:rsidP="00974377">
      <w:pPr>
        <w:numPr>
          <w:ilvl w:val="2"/>
          <w:numId w:val="15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</w:rPr>
      </w:pPr>
      <w:r w:rsidRPr="007A2EC7">
        <w:rPr>
          <w:rFonts w:ascii="Arial" w:eastAsia="宋体" w:hAnsi="Arial" w:cs="Arial" w:hint="eastAsia"/>
          <w:sz w:val="24"/>
          <w:szCs w:val="24"/>
        </w:rPr>
        <w:tab/>
      </w:r>
      <w:r w:rsidRPr="007A2EC7">
        <w:rPr>
          <w:rFonts w:ascii="Arial" w:eastAsia="宋体" w:hAnsi="Arial" w:cs="Arial" w:hint="eastAsia"/>
          <w:sz w:val="24"/>
          <w:szCs w:val="24"/>
        </w:rPr>
        <w:t>将配置好的</w:t>
      </w:r>
      <w:r w:rsidR="006216A1" w:rsidRPr="007A2EC7">
        <w:rPr>
          <w:rFonts w:ascii="Arial" w:eastAsia="宋体" w:hAnsi="Arial" w:cs="Arial" w:hint="eastAsia"/>
          <w:sz w:val="24"/>
          <w:szCs w:val="24"/>
        </w:rPr>
        <w:t>PCR regent mix</w:t>
      </w:r>
      <w:r w:rsidR="003A793E" w:rsidRPr="007A2EC7">
        <w:rPr>
          <w:rFonts w:ascii="Arial" w:eastAsia="宋体" w:hAnsi="Arial" w:cs="Arial" w:hint="eastAsia"/>
          <w:sz w:val="24"/>
          <w:szCs w:val="24"/>
        </w:rPr>
        <w:t>混合均匀，转移到加样槽</w:t>
      </w:r>
      <w:r w:rsidRPr="007A2EC7">
        <w:rPr>
          <w:rFonts w:ascii="Arial" w:eastAsia="宋体" w:hAnsi="Arial" w:cs="Arial" w:hint="eastAsia"/>
          <w:sz w:val="24"/>
          <w:szCs w:val="24"/>
        </w:rPr>
        <w:t>中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="00947230" w:rsidRPr="007A2EC7">
        <w:rPr>
          <w:rFonts w:ascii="Arial" w:eastAsia="宋体" w:hAnsi="Arial" w:cs="Arial"/>
          <w:sz w:val="24"/>
          <w:szCs w:val="24"/>
        </w:rPr>
        <w:t>按照</w:t>
      </w:r>
      <w:r w:rsidR="00947230" w:rsidRPr="007A2EC7">
        <w:rPr>
          <w:rFonts w:ascii="Arial" w:eastAsia="宋体" w:hAnsi="Arial" w:cs="Arial"/>
          <w:sz w:val="24"/>
          <w:szCs w:val="24"/>
        </w:rPr>
        <w:t>72 assays×72 samples</w:t>
      </w:r>
      <w:r w:rsidR="00947230" w:rsidRPr="007A2EC7">
        <w:rPr>
          <w:rFonts w:ascii="Arial" w:eastAsia="宋体" w:hAnsi="Arial" w:cs="Arial"/>
          <w:sz w:val="24"/>
          <w:szCs w:val="24"/>
        </w:rPr>
        <w:t>的阵列样品分布格局（如图</w:t>
      </w:r>
      <w:r w:rsidR="00947230" w:rsidRPr="007A2EC7">
        <w:rPr>
          <w:rFonts w:ascii="Arial" w:eastAsia="宋体" w:hAnsi="Arial" w:cs="Arial"/>
          <w:sz w:val="24"/>
          <w:szCs w:val="24"/>
        </w:rPr>
        <w:t>1</w:t>
      </w:r>
      <w:r w:rsidR="00947230" w:rsidRPr="007A2EC7">
        <w:rPr>
          <w:rFonts w:ascii="Arial" w:eastAsia="宋体" w:hAnsi="Arial" w:cs="Arial"/>
          <w:sz w:val="24"/>
          <w:szCs w:val="24"/>
        </w:rPr>
        <w:t>）</w:t>
      </w:r>
      <w:r w:rsidR="003A793E" w:rsidRPr="007A2EC7">
        <w:rPr>
          <w:rFonts w:ascii="Arial" w:eastAsia="宋体" w:hAnsi="Arial" w:cs="Arial"/>
          <w:sz w:val="24"/>
          <w:szCs w:val="24"/>
        </w:rPr>
        <w:t>避光条件下</w:t>
      </w:r>
      <w:r w:rsidR="00947230" w:rsidRPr="007A2EC7">
        <w:rPr>
          <w:rFonts w:ascii="Arial" w:eastAsia="宋体" w:hAnsi="Arial" w:cs="Arial"/>
          <w:sz w:val="24"/>
          <w:szCs w:val="24"/>
        </w:rPr>
        <w:t>在</w:t>
      </w:r>
      <w:r w:rsidR="00947230" w:rsidRPr="007A2EC7">
        <w:rPr>
          <w:rFonts w:ascii="Arial" w:eastAsia="宋体" w:hAnsi="Arial" w:cs="Arial"/>
          <w:sz w:val="24"/>
          <w:szCs w:val="24"/>
        </w:rPr>
        <w:t xml:space="preserve">384-well assay </w:t>
      </w:r>
      <w:proofErr w:type="spellStart"/>
      <w:r w:rsidR="00947230" w:rsidRPr="007A2EC7">
        <w:rPr>
          <w:rFonts w:ascii="Arial" w:eastAsia="宋体" w:hAnsi="Arial" w:cs="Arial"/>
          <w:sz w:val="24"/>
          <w:szCs w:val="24"/>
        </w:rPr>
        <w:t>sourceplate</w:t>
      </w:r>
      <w:proofErr w:type="spellEnd"/>
      <w:r w:rsidR="00947230" w:rsidRPr="007A2EC7">
        <w:rPr>
          <w:rFonts w:ascii="Arial" w:eastAsia="宋体" w:hAnsi="Arial" w:cs="Arial"/>
          <w:sz w:val="24"/>
          <w:szCs w:val="24"/>
        </w:rPr>
        <w:t>上分配体积</w:t>
      </w:r>
      <w:r w:rsidR="00947230" w:rsidRPr="007A2EC7">
        <w:rPr>
          <w:rFonts w:ascii="Arial" w:eastAsia="宋体" w:hAnsi="Arial" w:cs="Arial"/>
          <w:sz w:val="24"/>
          <w:szCs w:val="24"/>
          <w:lang w:eastAsia="zh-CN"/>
        </w:rPr>
        <w:t>，每个孔中加样体积如下</w:t>
      </w:r>
      <w:r w:rsidR="00947230" w:rsidRPr="007A2EC7">
        <w:rPr>
          <w:rFonts w:ascii="Arial" w:eastAsia="宋体" w:hAnsi="Arial" w:cs="Arial"/>
          <w:sz w:val="24"/>
          <w:szCs w:val="24"/>
        </w:rPr>
        <w:t>：</w:t>
      </w:r>
    </w:p>
    <w:p w:rsidR="00404BD1" w:rsidRPr="007A2EC7" w:rsidRDefault="00947230">
      <w:p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</w:rPr>
      </w:pPr>
      <w:r w:rsidRPr="007A2EC7">
        <w:rPr>
          <w:rFonts w:ascii="Arial" w:eastAsia="宋体" w:hAnsi="Arial" w:cs="Arial"/>
          <w:sz w:val="24"/>
          <w:szCs w:val="24"/>
        </w:rPr>
        <w:t>Prepared mix   1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2.4</w:t>
      </w:r>
      <w:r w:rsidRPr="007A2EC7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7A2EC7">
        <w:rPr>
          <w:rFonts w:ascii="Arial" w:eastAsia="宋体" w:hAnsi="Arial" w:cs="Arial"/>
          <w:sz w:val="24"/>
          <w:szCs w:val="24"/>
        </w:rPr>
        <w:t>ul</w:t>
      </w:r>
      <w:proofErr w:type="spellEnd"/>
    </w:p>
    <w:p w:rsidR="00404BD1" w:rsidRPr="007A2EC7" w:rsidRDefault="00947230">
      <w:p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</w:rPr>
      </w:pPr>
      <w:r w:rsidRPr="007A2EC7">
        <w:rPr>
          <w:rFonts w:ascii="Arial" w:eastAsia="宋体" w:hAnsi="Arial" w:cs="Arial"/>
          <w:sz w:val="24"/>
          <w:szCs w:val="24"/>
        </w:rPr>
        <w:t>引物探针</w:t>
      </w:r>
      <w:r w:rsidRPr="007A2EC7">
        <w:rPr>
          <w:rFonts w:ascii="Arial" w:eastAsia="宋体" w:hAnsi="Arial" w:cs="Arial"/>
          <w:sz w:val="24"/>
          <w:szCs w:val="24"/>
        </w:rPr>
        <w:t xml:space="preserve">        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3.1</w:t>
      </w:r>
      <w:r w:rsidRPr="007A2EC7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7A2EC7">
        <w:rPr>
          <w:rFonts w:ascii="Arial" w:eastAsia="宋体" w:hAnsi="Arial" w:cs="Arial"/>
          <w:sz w:val="24"/>
          <w:szCs w:val="24"/>
        </w:rPr>
        <w:t>ul</w:t>
      </w:r>
      <w:proofErr w:type="spellEnd"/>
    </w:p>
    <w:p w:rsidR="00404BD1" w:rsidRPr="00A65254" w:rsidRDefault="00947230">
      <w:p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</w:rPr>
      </w:pPr>
      <w:r w:rsidRPr="007A2EC7">
        <w:rPr>
          <w:rFonts w:ascii="Arial" w:eastAsia="宋体" w:hAnsi="Arial" w:cs="Arial"/>
          <w:i/>
          <w:iCs/>
          <w:sz w:val="24"/>
          <w:szCs w:val="24"/>
          <w:lang w:eastAsia="zh-CN"/>
        </w:rPr>
        <w:t>注：排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枪使用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“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倒吸法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”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防止气泡产生，同时避光操作</w:t>
      </w:r>
    </w:p>
    <w:p w:rsidR="00404BD1" w:rsidRPr="00A65254" w:rsidRDefault="00947230">
      <w:pPr>
        <w:numPr>
          <w:ilvl w:val="1"/>
          <w:numId w:val="15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将分装好试剂的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assay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sourceplate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sample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sourceplate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的无菌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384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板上贴上封板膜，采用刮板将封板膜紧密贴在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384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板上，将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384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板于冷冻离心机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4°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3500</w:t>
      </w:r>
      <w:r w:rsidRPr="00A65254">
        <w:rPr>
          <w:rFonts w:ascii="Arial" w:hAnsi="Arial" w:cs="Arial"/>
          <w:i/>
          <w:sz w:val="24"/>
          <w:szCs w:val="24"/>
          <w:lang w:eastAsia="zh-CN"/>
        </w:rPr>
        <w:t xml:space="preserve"> x g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离心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5 min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。随后将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384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板置于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4</w:t>
      </w:r>
      <w:r w:rsidRPr="00A65254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A65254">
        <w:rPr>
          <w:rFonts w:ascii="Arial" w:eastAsia="宋体" w:hAnsi="Arial" w:cs="Arial" w:hint="eastAsia"/>
          <w:sz w:val="24"/>
          <w:szCs w:val="24"/>
          <w:lang w:eastAsia="zh-CN"/>
        </w:rPr>
        <w:t>℃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冰箱避光保存备用。</w:t>
      </w:r>
    </w:p>
    <w:p w:rsidR="00404BD1" w:rsidRPr="00A65254" w:rsidRDefault="00947230">
      <w:p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注：切勿反转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384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板以免液体</w:t>
      </w:r>
      <w:proofErr w:type="gramStart"/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黏</w:t>
      </w:r>
      <w:proofErr w:type="gramEnd"/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在封板膜上</w:t>
      </w:r>
    </w:p>
    <w:p w:rsidR="00404BD1" w:rsidRPr="00A65254" w:rsidRDefault="00947230">
      <w:pPr>
        <w:numPr>
          <w:ilvl w:val="1"/>
          <w:numId w:val="15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高通量定量仪器运行操作</w:t>
      </w:r>
    </w:p>
    <w:p w:rsidR="00404BD1" w:rsidRPr="00A65254" w:rsidRDefault="00947230">
      <w:pPr>
        <w:numPr>
          <w:ilvl w:val="2"/>
          <w:numId w:val="15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运行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SmartChip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Multisample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Nanodispenser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仪器</w:t>
      </w:r>
    </w:p>
    <w:p w:rsidR="00404BD1" w:rsidRPr="00A65254" w:rsidRDefault="00947230">
      <w:p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注：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该仪器主要用于将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384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板上的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mixture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分装到芯片上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打开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SmartChip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Multisample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Nanodispenser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仪器开关；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检查气瓶气体含量（确保气体含量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&gt;0.3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mpa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），检查曝气瓶，确保曝气水瓶装满超纯水；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检查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NaClO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溶液瓶，每周更换一次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NaClO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溶液（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NaClO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有效氯终浓度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0.2%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，主要用于清洗管道除菌）；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打开气瓶气阀与曝气水瓶气阀，曝气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30min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，压力控制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40 psi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；</w:t>
      </w:r>
    </w:p>
    <w:p w:rsidR="00404BD1" w:rsidRPr="00A65254" w:rsidRDefault="00947230">
      <w:pPr>
        <w:adjustRightInd w:val="0"/>
        <w:snapToGrid w:val="0"/>
        <w:spacing w:line="360" w:lineRule="auto"/>
        <w:ind w:firstLineChars="700" w:firstLine="16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注：曝气务必充分，</w:t>
      </w:r>
      <w:proofErr w:type="gramStart"/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否则导致</w:t>
      </w:r>
      <w:proofErr w:type="gramEnd"/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芯片表面有水珠出现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曝气完毕，关闭曝气水瓶上的气阀，在电脑操作界面进行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daily warm up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三次和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tip clean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一次；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lastRenderedPageBreak/>
        <w:t>设置参数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—setup-mode-gene expression + Chip number --assays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（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72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），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samples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（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72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）；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输入引物板排列文件和样品板排列文件，输出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layout—Chip number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的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layout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文件；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分装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assay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sourceplate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即引物板，将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384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板放置仪器样品分装室内侧（注：确保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384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板紧扣位置，且分装样品靠近最内侧）。放置芯片，记录芯片编号，并将标有编号的一端靠近</w:t>
      </w:r>
      <w:proofErr w:type="gramStart"/>
      <w:r w:rsidRPr="00A65254">
        <w:rPr>
          <w:rFonts w:ascii="Arial" w:eastAsia="宋体" w:hAnsi="Arial" w:cs="Arial"/>
          <w:sz w:val="24"/>
          <w:szCs w:val="24"/>
          <w:lang w:eastAsia="zh-CN"/>
        </w:rPr>
        <w:t>分装室</w:t>
      </w:r>
      <w:proofErr w:type="gramEnd"/>
      <w:r w:rsidRPr="00A65254">
        <w:rPr>
          <w:rFonts w:ascii="Arial" w:eastAsia="宋体" w:hAnsi="Arial" w:cs="Arial"/>
          <w:sz w:val="24"/>
          <w:szCs w:val="24"/>
          <w:lang w:eastAsia="zh-CN"/>
        </w:rPr>
        <w:t>最外侧。点击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“dispense assays”—“yes”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，运行完毕点击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“tip clean”3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次。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取下芯片，采用滤纸覆盖轻压表面，检查是否有水珠出现，小心在表面粘贴白膜，冷冻离心机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4°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3500×g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离心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5 min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。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取下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assay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sourceplate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，同样的方式置换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sample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sourceplate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，重新放置已分装引物的芯片（</w:t>
      </w:r>
      <w:r w:rsidRPr="00A65254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注：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必须与前一步放置方向相同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），点击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“dispense assays”—“yes”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，运行完毕点击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“tip clean”3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次</w:t>
      </w:r>
      <w:r w:rsidRPr="00A65254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:rsidR="00404BD1" w:rsidRPr="00A65254" w:rsidRDefault="00947230">
      <w:pPr>
        <w:adjustRightInd w:val="0"/>
        <w:snapToGrid w:val="0"/>
        <w:spacing w:line="360" w:lineRule="auto"/>
        <w:ind w:leftChars="839" w:left="1678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注：每次芯片分装完样品注意一定要进行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tip clean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，分装完所有样品后务必进行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daily clean</w:t>
      </w:r>
      <w:r w:rsidRPr="00A65254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。</w:t>
      </w:r>
    </w:p>
    <w:p w:rsidR="00404BD1" w:rsidRPr="00A65254" w:rsidRDefault="00947230">
      <w:pPr>
        <w:numPr>
          <w:ilvl w:val="0"/>
          <w:numId w:val="16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取下芯片，采用滤纸覆盖轻压表面，检查是否有水珠出现，小心在表面粘贴蓝膜（注意贴膜方向），冷冻离心机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4°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3500×g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离心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10 min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。</w:t>
      </w:r>
    </w:p>
    <w:p w:rsidR="00404BD1" w:rsidRPr="00A65254" w:rsidRDefault="00947230">
      <w:pPr>
        <w:numPr>
          <w:ilvl w:val="2"/>
          <w:numId w:val="15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运行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SmartChip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Cycler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仪器</w:t>
      </w:r>
    </w:p>
    <w:p w:rsidR="00404BD1" w:rsidRPr="00A65254" w:rsidRDefault="00947230">
      <w:p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注：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该仪器主要用于运行荧光定量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PCR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程序，收集荧光信号</w:t>
      </w:r>
      <w:r w:rsidRPr="00A65254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:rsidR="00404BD1" w:rsidRPr="00A65254" w:rsidRDefault="00947230">
      <w:pPr>
        <w:numPr>
          <w:ilvl w:val="0"/>
          <w:numId w:val="17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首先打开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SmartChip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Cycler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仪器，随后再打开电脑电源；</w:t>
      </w:r>
    </w:p>
    <w:p w:rsidR="00404BD1" w:rsidRPr="00A65254" w:rsidRDefault="00947230">
      <w:pPr>
        <w:numPr>
          <w:ilvl w:val="0"/>
          <w:numId w:val="17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检查气瓶压强，确保气瓶总压力不低于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100psi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，否则及时更换气瓶，仪器运行时压力维持在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120 psi</w:t>
      </w:r>
      <w:r w:rsidRPr="00A65254">
        <w:rPr>
          <w:rFonts w:ascii="Arial" w:eastAsia="宋体" w:hAnsi="Arial" w:cs="Arial" w:hint="eastAsia"/>
          <w:sz w:val="24"/>
          <w:szCs w:val="24"/>
          <w:lang w:eastAsia="zh-CN"/>
        </w:rPr>
        <w:t>；</w:t>
      </w:r>
    </w:p>
    <w:p w:rsidR="00404BD1" w:rsidRPr="00A65254" w:rsidRDefault="00947230">
      <w:pPr>
        <w:adjustRightInd w:val="0"/>
        <w:snapToGrid w:val="0"/>
        <w:spacing w:line="360" w:lineRule="auto"/>
        <w:ind w:leftChars="400" w:left="800" w:firstLineChars="400" w:firstLine="960"/>
        <w:jc w:val="both"/>
        <w:rPr>
          <w:rFonts w:ascii="Arial" w:eastAsia="宋体" w:hAnsi="Arial" w:cs="Arial"/>
          <w:i/>
          <w:iCs/>
          <w:sz w:val="24"/>
          <w:szCs w:val="24"/>
          <w:lang w:eastAsia="zh-CN"/>
        </w:rPr>
      </w:pPr>
      <w:r w:rsidRPr="00A65254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注：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此</w:t>
      </w:r>
      <w:proofErr w:type="gramStart"/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步较为</w:t>
      </w:r>
      <w:proofErr w:type="gramEnd"/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重要，影响后续荧光信号的收集</w:t>
      </w:r>
      <w:r w:rsidRPr="00A65254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。</w:t>
      </w:r>
    </w:p>
    <w:p w:rsidR="00404BD1" w:rsidRPr="00A65254" w:rsidRDefault="00947230">
      <w:pPr>
        <w:numPr>
          <w:ilvl w:val="0"/>
          <w:numId w:val="17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设置需要的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protocol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，导入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Multisample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Nanodispenser</w:t>
      </w:r>
      <w:proofErr w:type="spellEnd"/>
      <w:proofErr w:type="gramStart"/>
      <w:r w:rsidRPr="00A65254">
        <w:rPr>
          <w:rFonts w:ascii="Arial" w:eastAsia="宋体" w:hAnsi="Arial" w:cs="Arial"/>
          <w:sz w:val="24"/>
          <w:szCs w:val="24"/>
          <w:lang w:eastAsia="zh-CN"/>
        </w:rPr>
        <w:t>仪器仪器</w:t>
      </w:r>
      <w:proofErr w:type="gramEnd"/>
      <w:r w:rsidRPr="00A65254">
        <w:rPr>
          <w:rFonts w:ascii="Arial" w:eastAsia="宋体" w:hAnsi="Arial" w:cs="Arial"/>
          <w:sz w:val="24"/>
          <w:szCs w:val="24"/>
          <w:lang w:eastAsia="zh-CN"/>
        </w:rPr>
        <w:t>上生成的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layout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文件，选择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project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；</w:t>
      </w:r>
    </w:p>
    <w:p w:rsidR="00404BD1" w:rsidRPr="00A65254" w:rsidRDefault="00947230">
      <w:pPr>
        <w:numPr>
          <w:ilvl w:val="0"/>
          <w:numId w:val="17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放置芯片，使蓝膜周边与仪器紧密粘贴</w:t>
      </w:r>
      <w:r w:rsidRPr="00A65254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设置芯片信息，点击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“run”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，运行仪器；</w:t>
      </w:r>
    </w:p>
    <w:p w:rsidR="00404BD1" w:rsidRPr="00A65254" w:rsidRDefault="00947230">
      <w:pPr>
        <w:adjustRightInd w:val="0"/>
        <w:snapToGrid w:val="0"/>
        <w:spacing w:line="360" w:lineRule="auto"/>
        <w:ind w:leftChars="800" w:left="2080" w:hangingChars="200" w:hanging="480"/>
        <w:jc w:val="both"/>
        <w:rPr>
          <w:rFonts w:ascii="Arial" w:eastAsia="宋体" w:hAnsi="Arial" w:cs="Arial"/>
          <w:i/>
          <w:iCs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注：确保芯片放置方向正确</w:t>
      </w:r>
      <w:r w:rsidRPr="00A65254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。</w:t>
      </w:r>
    </w:p>
    <w:p w:rsidR="00404BD1" w:rsidRPr="007A2EC7" w:rsidRDefault="00947230">
      <w:pPr>
        <w:numPr>
          <w:ilvl w:val="0"/>
          <w:numId w:val="17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lastRenderedPageBreak/>
        <w:t>选择结果文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件存放位置，检查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pressure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是否处于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“OK”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状态，检查是否出峰。</w:t>
      </w:r>
    </w:p>
    <w:p w:rsidR="00807E1E" w:rsidRPr="007A2EC7" w:rsidRDefault="00807E1E">
      <w:pPr>
        <w:numPr>
          <w:ilvl w:val="0"/>
          <w:numId w:val="17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运行结束后导出数据，点击“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analysis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”，随后选择“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file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”下拉“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save cell data as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”保存为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txt</w:t>
      </w:r>
      <w:r w:rsidRPr="007A2EC7">
        <w:rPr>
          <w:rFonts w:ascii="Arial" w:eastAsia="宋体" w:hAnsi="Arial" w:cs="Arial" w:hint="eastAsia"/>
          <w:sz w:val="24"/>
          <w:szCs w:val="24"/>
          <w:lang w:eastAsia="zh-CN"/>
        </w:rPr>
        <w:t>格式文档。</w:t>
      </w:r>
    </w:p>
    <w:p w:rsidR="00404BD1" w:rsidRPr="007A2EC7" w:rsidRDefault="00404BD1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</w:p>
    <w:p w:rsidR="00404BD1" w:rsidRPr="007A2EC7" w:rsidRDefault="00947230">
      <w:pPr>
        <w:numPr>
          <w:ilvl w:val="1"/>
          <w:numId w:val="15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sz w:val="24"/>
          <w:szCs w:val="24"/>
          <w:lang w:eastAsia="zh-CN"/>
        </w:rPr>
        <w:t>数据处理</w:t>
      </w:r>
      <w:proofErr w:type="gramStart"/>
      <w:r w:rsidRPr="007A2EC7">
        <w:rPr>
          <w:rFonts w:ascii="Arial" w:eastAsia="宋体" w:hAnsi="Arial" w:cs="Arial"/>
          <w:sz w:val="24"/>
          <w:szCs w:val="24"/>
          <w:lang w:eastAsia="zh-CN"/>
        </w:rPr>
        <w:t>—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计算</w:t>
      </w:r>
      <w:proofErr w:type="gramEnd"/>
      <w:r w:rsidRPr="007A2EC7">
        <w:rPr>
          <w:rFonts w:ascii="Arial" w:eastAsia="宋体" w:hAnsi="Arial" w:cs="Arial"/>
          <w:sz w:val="24"/>
          <w:szCs w:val="24"/>
          <w:lang w:eastAsia="zh-CN"/>
        </w:rPr>
        <w:t>功能基因拷贝数</w:t>
      </w:r>
    </w:p>
    <w:p w:rsidR="00404BD1" w:rsidRPr="007A2EC7" w:rsidRDefault="00947230">
      <w:pPr>
        <w:numPr>
          <w:ilvl w:val="2"/>
          <w:numId w:val="15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sz w:val="24"/>
          <w:szCs w:val="24"/>
          <w:lang w:eastAsia="zh-CN"/>
        </w:rPr>
        <w:t>使用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Canco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软件获得各基因在各样本中的检出情况和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Ct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值（扩增循环数），同时构建分别含有待检测的功能基因的标准质粒，根据已知浓度的标准质粒的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Ct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值绘制标准曲线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>y=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kx+b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>；</w:t>
      </w:r>
      <w:r w:rsidRPr="007A2EC7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</w:p>
    <w:p w:rsidR="00404BD1" w:rsidRPr="00A65254" w:rsidRDefault="00947230">
      <w:pPr>
        <w:numPr>
          <w:ilvl w:val="2"/>
          <w:numId w:val="15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7A2EC7">
        <w:rPr>
          <w:rFonts w:ascii="Arial" w:eastAsia="宋体" w:hAnsi="Arial" w:cs="Arial"/>
          <w:sz w:val="24"/>
          <w:szCs w:val="24"/>
          <w:lang w:eastAsia="zh-CN"/>
        </w:rPr>
        <w:t>根据</w:t>
      </w:r>
      <w:proofErr w:type="spellStart"/>
      <w:r w:rsidRPr="007A2EC7">
        <w:rPr>
          <w:rFonts w:ascii="Arial" w:eastAsia="宋体" w:hAnsi="Arial" w:cs="Arial"/>
          <w:sz w:val="24"/>
          <w:szCs w:val="24"/>
          <w:lang w:eastAsia="zh-CN"/>
        </w:rPr>
        <w:t>SmartChip</w:t>
      </w:r>
      <w:proofErr w:type="spellEnd"/>
      <w:r w:rsidRPr="007A2EC7">
        <w:rPr>
          <w:rFonts w:ascii="Arial" w:eastAsia="宋体" w:hAnsi="Arial" w:cs="Arial"/>
          <w:sz w:val="24"/>
          <w:szCs w:val="24"/>
          <w:lang w:eastAsia="zh-CN"/>
        </w:rPr>
        <w:t xml:space="preserve"> Real-T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ime PCR System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和</w:t>
      </w:r>
      <w:proofErr w:type="spellStart"/>
      <w:r w:rsidRPr="00A65254">
        <w:rPr>
          <w:rFonts w:ascii="Arial" w:eastAsia="宋体" w:hAnsi="Arial" w:cs="Arial"/>
          <w:sz w:val="24"/>
          <w:szCs w:val="24"/>
          <w:lang w:eastAsia="zh-CN"/>
        </w:rPr>
        <w:t>Canco</w:t>
      </w:r>
      <w:proofErr w:type="spellEnd"/>
      <w:r w:rsidRPr="00A65254">
        <w:rPr>
          <w:rFonts w:ascii="Arial" w:eastAsia="宋体" w:hAnsi="Arial" w:cs="Arial"/>
          <w:sz w:val="24"/>
          <w:szCs w:val="24"/>
          <w:lang w:eastAsia="zh-CN"/>
        </w:rPr>
        <w:t>软件给出的各基因在各样本中的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Ct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值整理成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Ct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值总表并进行质控，质</w:t>
      </w:r>
      <w:proofErr w:type="gramStart"/>
      <w:r w:rsidRPr="00A65254">
        <w:rPr>
          <w:rFonts w:ascii="Arial" w:eastAsia="宋体" w:hAnsi="Arial" w:cs="Arial"/>
          <w:sz w:val="24"/>
          <w:szCs w:val="24"/>
          <w:lang w:eastAsia="zh-CN"/>
        </w:rPr>
        <w:t>控条件</w:t>
      </w:r>
      <w:proofErr w:type="gramEnd"/>
      <w:r w:rsidRPr="00A65254">
        <w:rPr>
          <w:rFonts w:ascii="Arial" w:eastAsia="宋体" w:hAnsi="Arial" w:cs="Arial"/>
          <w:sz w:val="24"/>
          <w:szCs w:val="24"/>
          <w:lang w:eastAsia="zh-CN"/>
        </w:rPr>
        <w:t>如下：</w:t>
      </w:r>
    </w:p>
    <w:p w:rsidR="00404BD1" w:rsidRPr="00A65254" w:rsidRDefault="00947230">
      <w:pPr>
        <w:numPr>
          <w:ilvl w:val="0"/>
          <w:numId w:val="18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当扩增效率小于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1.8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或大于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2.2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将舍弃该基因；</w:t>
      </w:r>
    </w:p>
    <w:p w:rsidR="00404BD1" w:rsidRPr="00A65254" w:rsidRDefault="00947230">
      <w:pPr>
        <w:numPr>
          <w:ilvl w:val="0"/>
          <w:numId w:val="18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当阴性对照有扩增，则舍弃该基因；</w:t>
      </w:r>
    </w:p>
    <w:p w:rsidR="00404BD1" w:rsidRPr="00A65254" w:rsidRDefault="00947230">
      <w:pPr>
        <w:numPr>
          <w:ilvl w:val="0"/>
          <w:numId w:val="18"/>
        </w:numPr>
        <w:adjustRightInd w:val="0"/>
        <w:snapToGrid w:val="0"/>
        <w:spacing w:line="360" w:lineRule="auto"/>
        <w:ind w:leftChars="600" w:left="16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当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Ct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值大于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31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时将认为没有扩增，舍弃该基因在对应样本中的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Ct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值。</w:t>
      </w:r>
    </w:p>
    <w:p w:rsidR="00404BD1" w:rsidRPr="00A65254" w:rsidRDefault="00947230">
      <w:p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i/>
          <w:iCs/>
          <w:sz w:val="24"/>
          <w:szCs w:val="24"/>
          <w:lang w:eastAsia="zh-CN"/>
        </w:rPr>
      </w:pPr>
      <w:r w:rsidRPr="00A65254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注：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其中在表格中标注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“0”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代表该基因在对应样本中未检出。而只有在三个技术重复中均被检出的基因，才会将该基因判定为阳性，并计算其平均值作为该基因在对应样本中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Ct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值。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Ct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值代表该基因在对应样本中的扩增循环数，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Ct</w:t>
      </w:r>
      <w:r w:rsidRPr="00A65254">
        <w:rPr>
          <w:rFonts w:ascii="Arial" w:eastAsia="宋体" w:hAnsi="Arial" w:cs="Arial"/>
          <w:i/>
          <w:iCs/>
          <w:sz w:val="24"/>
          <w:szCs w:val="24"/>
          <w:lang w:eastAsia="zh-CN"/>
        </w:rPr>
        <w:t>值越小意味着该基因在对应样本中的起始含量越高。</w:t>
      </w:r>
    </w:p>
    <w:p w:rsidR="00404BD1" w:rsidRDefault="00947230">
      <w:pPr>
        <w:numPr>
          <w:ilvl w:val="2"/>
          <w:numId w:val="15"/>
        </w:numPr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A65254">
        <w:rPr>
          <w:rFonts w:ascii="Arial" w:eastAsia="宋体" w:hAnsi="Arial" w:cs="Arial"/>
          <w:sz w:val="24"/>
          <w:szCs w:val="24"/>
          <w:lang w:eastAsia="zh-CN"/>
        </w:rPr>
        <w:t>将样本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Ct</w:t>
      </w:r>
      <w:r w:rsidRPr="00A65254">
        <w:rPr>
          <w:rFonts w:ascii="Arial" w:eastAsia="宋体" w:hAnsi="Arial" w:cs="Arial"/>
          <w:sz w:val="24"/>
          <w:szCs w:val="24"/>
          <w:lang w:eastAsia="zh-CN"/>
        </w:rPr>
        <w:t>值代入标准曲线公式，获得样本基因的绝对定</w:t>
      </w:r>
      <w:r>
        <w:rPr>
          <w:rFonts w:ascii="Arial" w:eastAsia="宋体" w:hAnsi="Arial" w:cs="Arial"/>
          <w:sz w:val="24"/>
          <w:szCs w:val="24"/>
          <w:lang w:eastAsia="zh-CN"/>
        </w:rPr>
        <w:t>量信息，统计各基因在各样本中的基因数目。相对丰度的计算采用公式：相对拷贝数</w:t>
      </w:r>
      <w:r>
        <w:rPr>
          <w:rFonts w:ascii="Arial" w:eastAsia="宋体" w:hAnsi="Arial" w:cs="Arial"/>
          <w:sz w:val="24"/>
          <w:szCs w:val="24"/>
          <w:lang w:eastAsia="zh-CN"/>
        </w:rPr>
        <w:t xml:space="preserve"> = 10^(31-Ct)/(10/3)</w:t>
      </w:r>
      <w:r>
        <w:rPr>
          <w:rFonts w:ascii="Arial" w:eastAsia="宋体" w:hAnsi="Arial" w:cs="Arial"/>
          <w:sz w:val="24"/>
          <w:szCs w:val="24"/>
          <w:lang w:eastAsia="zh-CN"/>
        </w:rPr>
        <w:t>进行计算。</w:t>
      </w:r>
    </w:p>
    <w:p w:rsidR="00404BD1" w:rsidRDefault="00404BD1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b/>
          <w:bCs/>
          <w:sz w:val="24"/>
          <w:szCs w:val="24"/>
          <w:lang w:eastAsia="zh-CN"/>
        </w:rPr>
      </w:pPr>
    </w:p>
    <w:p w:rsidR="00404BD1" w:rsidRDefault="00947230">
      <w:pPr>
        <w:wordWrap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eastAsia="zh-CN"/>
        </w:rPr>
        <w:t>溶液配方</w:t>
      </w:r>
    </w:p>
    <w:p w:rsidR="00404BD1" w:rsidRDefault="00947230">
      <w:pPr>
        <w:widowControl w:val="0"/>
        <w:numPr>
          <w:ilvl w:val="0"/>
          <w:numId w:val="19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</w:pP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无菌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384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板、无菌枪头及无菌离心管：采用高压蒸汽灭菌，灭菌条件为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120°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，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30min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，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103.4kPa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。</w:t>
      </w:r>
    </w:p>
    <w:p w:rsidR="00404BD1" w:rsidRDefault="00404BD1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iCs/>
          <w:color w:val="0000FF"/>
          <w:sz w:val="24"/>
          <w:szCs w:val="24"/>
          <w:lang w:eastAsia="zh-CN"/>
        </w:rPr>
      </w:pPr>
    </w:p>
    <w:p w:rsidR="00404BD1" w:rsidRDefault="00947230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eastAsia="zh-CN"/>
        </w:rPr>
        <w:t>致谢</w:t>
      </w:r>
    </w:p>
    <w:p w:rsidR="00404BD1" w:rsidRDefault="00947230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</w:pP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本工作的开展是在国家重点研发计划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(2017YFE0107300)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，国家自然科学基金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(31722004,21936006)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等项目的支持下完成的，感谢科技部与国家自然科学基金委的支</w:t>
      </w:r>
      <w:r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lastRenderedPageBreak/>
        <w:t>持。</w:t>
      </w:r>
    </w:p>
    <w:p w:rsidR="00404BD1" w:rsidRDefault="00404BD1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</w:p>
    <w:p w:rsidR="00404BD1" w:rsidRDefault="00947230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kern w:val="0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eastAsia="zh-CN"/>
        </w:rPr>
        <w:t>参考文献</w:t>
      </w:r>
    </w:p>
    <w:p w:rsidR="00404BD1" w:rsidRPr="00B75B98" w:rsidRDefault="00947230">
      <w:pPr>
        <w:widowControl w:val="0"/>
        <w:numPr>
          <w:ilvl w:val="0"/>
          <w:numId w:val="20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</w:pP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Zhao, Y., Su, J. Q., Ye, J., </w:t>
      </w:r>
      <w:proofErr w:type="spellStart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Rensing</w:t>
      </w:r>
      <w:proofErr w:type="spellEnd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, C., Tardif, S.</w:t>
      </w:r>
      <w:r w:rsidR="00F70F1D"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, Zhu, Y. G., Bran</w:t>
      </w:r>
      <w:r w:rsidR="00F70F1D" w:rsidRPr="007A2EC7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dt K. K. (20</w:t>
      </w:r>
      <w:r w:rsidR="00F70F1D" w:rsidRPr="007A2EC7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lang w:eastAsia="zh-CN"/>
        </w:rPr>
        <w:t>19</w:t>
      </w:r>
      <w:r w:rsidRPr="007A2EC7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)</w:t>
      </w:r>
      <w:bookmarkStart w:id="9" w:name="_GoBack"/>
      <w:bookmarkEnd w:id="9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 </w:t>
      </w:r>
      <w:proofErr w:type="spellStart"/>
      <w:r w:rsidRPr="00B75B98">
        <w:rPr>
          <w:rStyle w:val="aff1"/>
          <w:rFonts w:ascii="Arial" w:eastAsia="宋体" w:hAnsi="Arial" w:cs="Arial"/>
          <w:color w:val="000000" w:themeColor="text1"/>
          <w:kern w:val="0"/>
          <w:sz w:val="24"/>
          <w:szCs w:val="24"/>
          <w:u w:val="none"/>
          <w:lang w:eastAsia="zh-CN"/>
        </w:rPr>
        <w:t>AsChip</w:t>
      </w:r>
      <w:proofErr w:type="spellEnd"/>
      <w:r w:rsidRPr="00B75B98">
        <w:rPr>
          <w:rStyle w:val="aff1"/>
          <w:rFonts w:ascii="Arial" w:eastAsia="宋体" w:hAnsi="Arial" w:cs="Arial"/>
          <w:color w:val="000000" w:themeColor="text1"/>
          <w:kern w:val="0"/>
          <w:sz w:val="24"/>
          <w:szCs w:val="24"/>
          <w:u w:val="none"/>
          <w:lang w:eastAsia="zh-CN"/>
        </w:rPr>
        <w:t xml:space="preserve">: </w:t>
      </w:r>
      <w:hyperlink r:id="rId10" w:history="1">
        <w:r w:rsidRPr="00B75B98">
          <w:rPr>
            <w:rStyle w:val="aff1"/>
            <w:rFonts w:ascii="Arial" w:eastAsia="宋体" w:hAnsi="Arial" w:cs="Arial"/>
            <w:color w:val="000000" w:themeColor="text1"/>
            <w:kern w:val="0"/>
            <w:sz w:val="24"/>
            <w:szCs w:val="24"/>
            <w:u w:val="none"/>
            <w:lang w:eastAsia="zh-CN"/>
          </w:rPr>
          <w:t>A High-Throughput qPCR Chip for Comprehensive Profiling of Genes Linked to Microbial Cycling of Arsenic</w:t>
        </w:r>
      </w:hyperlink>
      <w:r w:rsidRPr="00B75B98">
        <w:rPr>
          <w:rStyle w:val="aff1"/>
          <w:rFonts w:ascii="Arial" w:eastAsia="宋体" w:hAnsi="Arial" w:cs="Arial"/>
          <w:color w:val="000000" w:themeColor="text1"/>
          <w:kern w:val="0"/>
          <w:sz w:val="24"/>
          <w:szCs w:val="24"/>
          <w:u w:val="none"/>
          <w:lang w:eastAsia="zh-CN"/>
        </w:rPr>
        <w:t>.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 </w:t>
      </w:r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 xml:space="preserve">Environ </w:t>
      </w:r>
      <w:proofErr w:type="spellStart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>Sci</w:t>
      </w:r>
      <w:proofErr w:type="spellEnd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 xml:space="preserve"> Technol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. 2019, 53, 798−807.</w:t>
      </w:r>
    </w:p>
    <w:p w:rsidR="00404BD1" w:rsidRPr="00B75B98" w:rsidRDefault="00947230">
      <w:pPr>
        <w:widowControl w:val="0"/>
        <w:numPr>
          <w:ilvl w:val="0"/>
          <w:numId w:val="20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</w:pP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Zheng,</w:t>
      </w:r>
      <w:r w:rsidRPr="00B75B98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B</w:t>
      </w:r>
      <w:r w:rsidRPr="00B75B98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lang w:eastAsia="zh-CN"/>
        </w:rPr>
        <w:t>. X.,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 Zhu,</w:t>
      </w:r>
      <w:r w:rsidRPr="00B75B98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lang w:eastAsia="zh-CN"/>
        </w:rPr>
        <w:t xml:space="preserve"> Y. G., </w:t>
      </w:r>
      <w:proofErr w:type="spellStart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Sardans</w:t>
      </w:r>
      <w:proofErr w:type="spellEnd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,</w:t>
      </w:r>
      <w:r w:rsidRPr="00B75B98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lang w:eastAsia="zh-CN"/>
        </w:rPr>
        <w:t xml:space="preserve"> J.</w:t>
      </w:r>
      <w:proofErr w:type="gramStart"/>
      <w:r w:rsidRPr="00B75B98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lang w:eastAsia="zh-CN"/>
        </w:rPr>
        <w:t xml:space="preserve">,  </w:t>
      </w:r>
      <w:proofErr w:type="spellStart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Peñuelas</w:t>
      </w:r>
      <w:proofErr w:type="spellEnd"/>
      <w:proofErr w:type="gramEnd"/>
      <w:r w:rsidRPr="00B75B98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lang w:eastAsia="zh-CN"/>
        </w:rPr>
        <w:t xml:space="preserve">, J. and 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Su</w:t>
      </w:r>
      <w:r w:rsidRPr="00B75B98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lang w:eastAsia="zh-CN"/>
        </w:rPr>
        <w:t>, J. Q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. (2018) </w:t>
      </w:r>
      <w:hyperlink r:id="rId11" w:history="1">
        <w:r w:rsidRPr="00B75B98">
          <w:rPr>
            <w:rStyle w:val="aff1"/>
            <w:rFonts w:ascii="Arial" w:eastAsia="宋体" w:hAnsi="Arial" w:cs="Arial"/>
            <w:color w:val="000000" w:themeColor="text1"/>
            <w:kern w:val="0"/>
            <w:sz w:val="24"/>
            <w:szCs w:val="24"/>
            <w:u w:val="none"/>
            <w:lang w:eastAsia="zh-CN"/>
          </w:rPr>
          <w:t>QMEC: a tool for high-throughput quantitative assessment of microbial functional potential in C, N, P, and S biogeochemical cycling</w:t>
        </w:r>
      </w:hyperlink>
      <w:r w:rsidRPr="00B75B98">
        <w:rPr>
          <w:rStyle w:val="aff1"/>
          <w:rFonts w:ascii="Arial" w:eastAsia="宋体" w:hAnsi="Arial" w:cs="Arial"/>
          <w:color w:val="000000" w:themeColor="text1"/>
          <w:kern w:val="0"/>
          <w:sz w:val="24"/>
          <w:szCs w:val="24"/>
          <w:u w:val="none"/>
          <w:lang w:eastAsia="zh-CN"/>
        </w:rPr>
        <w:t xml:space="preserve">. </w:t>
      </w:r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>Science China Life Sciences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, 61: 1451–1462.</w:t>
      </w:r>
    </w:p>
    <w:p w:rsidR="00404BD1" w:rsidRPr="00B75B98" w:rsidRDefault="00947230">
      <w:pPr>
        <w:widowControl w:val="0"/>
        <w:numPr>
          <w:ilvl w:val="0"/>
          <w:numId w:val="20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</w:pP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Zhu, Y. G., Johnson, T. A., Su J. Q., </w:t>
      </w:r>
      <w:proofErr w:type="spellStart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Qiao</w:t>
      </w:r>
      <w:proofErr w:type="spellEnd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 M., </w:t>
      </w:r>
      <w:proofErr w:type="spellStart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Guo</w:t>
      </w:r>
      <w:proofErr w:type="spellEnd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 G. X., </w:t>
      </w:r>
      <w:proofErr w:type="spellStart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Stedtfeld</w:t>
      </w:r>
      <w:proofErr w:type="spellEnd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, R. D., </w:t>
      </w:r>
      <w:proofErr w:type="spellStart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Hashsham</w:t>
      </w:r>
      <w:proofErr w:type="spellEnd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, S. A., </w:t>
      </w:r>
      <w:proofErr w:type="spellStart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Tiedje</w:t>
      </w:r>
      <w:proofErr w:type="spellEnd"/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, J. M. (2013) </w:t>
      </w:r>
      <w:hyperlink r:id="rId12" w:history="1">
        <w:r w:rsidRPr="00B75B98">
          <w:rPr>
            <w:rStyle w:val="aff1"/>
            <w:rFonts w:ascii="Arial" w:eastAsia="宋体" w:hAnsi="Arial" w:cs="Arial"/>
            <w:color w:val="000000" w:themeColor="text1"/>
            <w:kern w:val="0"/>
            <w:sz w:val="24"/>
            <w:szCs w:val="24"/>
            <w:u w:val="none"/>
            <w:lang w:eastAsia="zh-CN"/>
          </w:rPr>
          <w:t>Diverse and abundant antibiotic resistance genes in Chinese swine farms.</w:t>
        </w:r>
      </w:hyperlink>
      <w:r w:rsidRPr="00B75B98">
        <w:rPr>
          <w:rStyle w:val="aff1"/>
          <w:rFonts w:ascii="Arial" w:eastAsia="宋体" w:hAnsi="Arial" w:cs="Arial"/>
          <w:color w:val="000000" w:themeColor="text1"/>
          <w:kern w:val="0"/>
          <w:sz w:val="24"/>
          <w:szCs w:val="24"/>
          <w:u w:val="none"/>
          <w:lang w:eastAsia="zh-CN"/>
        </w:rPr>
        <w:t xml:space="preserve"> </w:t>
      </w:r>
      <w:proofErr w:type="spellStart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>Proc</w:t>
      </w:r>
      <w:proofErr w:type="spellEnd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 xml:space="preserve"> </w:t>
      </w:r>
      <w:proofErr w:type="spellStart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>Natl</w:t>
      </w:r>
      <w:proofErr w:type="spellEnd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 xml:space="preserve"> </w:t>
      </w:r>
      <w:proofErr w:type="spellStart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>Acad</w:t>
      </w:r>
      <w:proofErr w:type="spellEnd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 xml:space="preserve"> </w:t>
      </w:r>
      <w:proofErr w:type="spellStart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>Sci</w:t>
      </w:r>
      <w:proofErr w:type="spellEnd"/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 xml:space="preserve"> U S A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. 110(9): 3435-40.</w:t>
      </w:r>
    </w:p>
    <w:p w:rsidR="00404BD1" w:rsidRPr="00B75B98" w:rsidRDefault="00947230">
      <w:pPr>
        <w:widowControl w:val="0"/>
        <w:numPr>
          <w:ilvl w:val="0"/>
          <w:numId w:val="20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</w:pP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An, X. L., Wang, J. Y., Pu, Q., Li, H., Pan, T., Li, H. Q., Pan, F. X., Su, J. Q. (2020) </w:t>
      </w:r>
      <w:hyperlink r:id="rId13" w:history="1">
        <w:r w:rsidRPr="00B75B98">
          <w:rPr>
            <w:rStyle w:val="aff1"/>
            <w:rFonts w:ascii="Arial" w:eastAsia="宋体" w:hAnsi="Arial" w:cs="Arial"/>
            <w:color w:val="000000" w:themeColor="text1"/>
            <w:kern w:val="0"/>
            <w:sz w:val="24"/>
            <w:szCs w:val="24"/>
            <w:u w:val="none"/>
            <w:lang w:eastAsia="zh-CN"/>
          </w:rPr>
          <w:t>High-throughput diagnosis of human pathogens and fecal contamination in marine recreational water</w:t>
        </w:r>
      </w:hyperlink>
      <w:r w:rsidRPr="00B75B98">
        <w:rPr>
          <w:rStyle w:val="aff1"/>
          <w:rFonts w:ascii="Arial" w:eastAsia="宋体" w:hAnsi="Arial" w:cs="Arial"/>
          <w:color w:val="000000" w:themeColor="text1"/>
          <w:kern w:val="0"/>
          <w:sz w:val="24"/>
          <w:szCs w:val="24"/>
          <w:u w:val="none"/>
          <w:lang w:eastAsia="zh-CN"/>
        </w:rPr>
        <w:t xml:space="preserve">. </w:t>
      </w:r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>Environ Res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>, 190:109982.</w:t>
      </w:r>
    </w:p>
    <w:p w:rsidR="00404BD1" w:rsidRPr="00B75B98" w:rsidRDefault="00947230">
      <w:pPr>
        <w:widowControl w:val="0"/>
        <w:numPr>
          <w:ilvl w:val="0"/>
          <w:numId w:val="20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</w:pP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Zhuang, F. F., Li, H., Zhou, X. Y., Zhu, Y. G., Su, J. Q. (2013) </w:t>
      </w:r>
      <w:hyperlink r:id="rId14" w:history="1">
        <w:r w:rsidRPr="00B75B98">
          <w:rPr>
            <w:rStyle w:val="aff1"/>
            <w:rFonts w:ascii="Arial" w:eastAsia="宋体" w:hAnsi="Arial" w:cs="Arial"/>
            <w:color w:val="000000" w:themeColor="text1"/>
            <w:kern w:val="0"/>
            <w:sz w:val="24"/>
            <w:szCs w:val="24"/>
            <w:u w:val="none"/>
            <w:lang w:eastAsia="zh-CN"/>
          </w:rPr>
          <w:t>Quantitative detection of fecal contamination with domestic poultry feces in environments in China.</w:t>
        </w:r>
        <w:r w:rsidRPr="00B75B98">
          <w:rPr>
            <w:rStyle w:val="aff1"/>
            <w:rFonts w:ascii="Arial" w:eastAsia="宋体" w:hAnsi="Arial" w:cs="Arial"/>
            <w:i/>
            <w:iCs/>
            <w:color w:val="000000" w:themeColor="text1"/>
            <w:kern w:val="0"/>
            <w:sz w:val="24"/>
            <w:szCs w:val="24"/>
            <w:u w:val="none"/>
            <w:lang w:eastAsia="zh-CN"/>
          </w:rPr>
          <w:t xml:space="preserve"> </w:t>
        </w:r>
      </w:hyperlink>
      <w:r w:rsidRPr="00B75B98">
        <w:rPr>
          <w:rFonts w:ascii="Arial" w:eastAsia="宋体" w:hAnsi="Arial" w:cs="Arial"/>
          <w:i/>
          <w:iCs/>
          <w:color w:val="000000" w:themeColor="text1"/>
          <w:kern w:val="0"/>
          <w:sz w:val="24"/>
          <w:szCs w:val="24"/>
          <w:lang w:eastAsia="zh-CN"/>
        </w:rPr>
        <w:t>AMB Express</w:t>
      </w:r>
      <w:r w:rsidRPr="00B75B98"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  <w:t xml:space="preserve"> 7(1): 80.</w:t>
      </w:r>
    </w:p>
    <w:p w:rsidR="00404BD1" w:rsidRPr="00B75B98" w:rsidRDefault="00404BD1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sz w:val="24"/>
          <w:szCs w:val="24"/>
        </w:rPr>
      </w:pPr>
    </w:p>
    <w:p w:rsidR="00404BD1" w:rsidRPr="00B75B98" w:rsidRDefault="00404BD1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</w:pPr>
    </w:p>
    <w:sectPr w:rsidR="00404BD1" w:rsidRPr="00B75B98" w:rsidSect="00A65254">
      <w:headerReference w:type="default" r:id="rId15"/>
      <w:footerReference w:type="default" r:id="rId16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990" w:rsidRDefault="001B2990">
      <w:r>
        <w:separator/>
      </w:r>
    </w:p>
  </w:endnote>
  <w:endnote w:type="continuationSeparator" w:id="0">
    <w:p w:rsidR="001B2990" w:rsidRDefault="001B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BD1" w:rsidRDefault="00404BD1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990" w:rsidRDefault="001B2990">
      <w:r>
        <w:separator/>
      </w:r>
    </w:p>
  </w:footnote>
  <w:footnote w:type="continuationSeparator" w:id="0">
    <w:p w:rsidR="001B2990" w:rsidRDefault="001B2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BD1" w:rsidRDefault="00947230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>
          <wp:extent cx="1127125" cy="34163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15200B"/>
    <w:multiLevelType w:val="singleLevel"/>
    <w:tmpl w:val="8015200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5B42C6F"/>
    <w:multiLevelType w:val="singleLevel"/>
    <w:tmpl w:val="85B42C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7C5CBA0"/>
    <w:multiLevelType w:val="multilevel"/>
    <w:tmpl w:val="87C5CBA0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3）"/>
      <w:lvlJc w:val="left"/>
      <w:pPr>
        <w:ind w:left="420" w:hanging="34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898B59C3"/>
    <w:multiLevelType w:val="singleLevel"/>
    <w:tmpl w:val="898B59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33AC77A"/>
    <w:multiLevelType w:val="multilevel"/>
    <w:tmpl w:val="C33AC77A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C4BA51E4"/>
    <w:multiLevelType w:val="singleLevel"/>
    <w:tmpl w:val="C4BA51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CED56AC3"/>
    <w:multiLevelType w:val="singleLevel"/>
    <w:tmpl w:val="CED56A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2C57B10"/>
    <w:multiLevelType w:val="singleLevel"/>
    <w:tmpl w:val="D2C57B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4440007"/>
    <w:multiLevelType w:val="multilevel"/>
    <w:tmpl w:val="D44400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3）"/>
      <w:lvlJc w:val="left"/>
      <w:pPr>
        <w:ind w:left="420" w:hanging="34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9">
    <w:nsid w:val="D701EDC1"/>
    <w:multiLevelType w:val="singleLevel"/>
    <w:tmpl w:val="D701EDC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DCA3A180"/>
    <w:multiLevelType w:val="multilevel"/>
    <w:tmpl w:val="DCA3A180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3）"/>
      <w:lvlJc w:val="left"/>
      <w:pPr>
        <w:ind w:left="420" w:hanging="34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1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42F4831"/>
    <w:multiLevelType w:val="multilevel"/>
    <w:tmpl w:val="042F4831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3）"/>
      <w:lvlJc w:val="left"/>
      <w:pPr>
        <w:ind w:left="420" w:hanging="34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>
    <w:nsid w:val="0805630C"/>
    <w:multiLevelType w:val="singleLevel"/>
    <w:tmpl w:val="080563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7B016FC"/>
    <w:multiLevelType w:val="multilevel"/>
    <w:tmpl w:val="47B016FC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3）"/>
      <w:lvlJc w:val="left"/>
      <w:pPr>
        <w:ind w:left="420" w:hanging="34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6">
    <w:nsid w:val="4811876E"/>
    <w:multiLevelType w:val="singleLevel"/>
    <w:tmpl w:val="4811876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49B47FE1"/>
    <w:multiLevelType w:val="multilevel"/>
    <w:tmpl w:val="49B47F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8">
    <w:nsid w:val="6CE5F147"/>
    <w:multiLevelType w:val="multilevel"/>
    <w:tmpl w:val="6CE5F14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>
    <w:nsid w:val="6D8199EE"/>
    <w:multiLevelType w:val="multilevel"/>
    <w:tmpl w:val="6D8199EE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3）"/>
      <w:lvlJc w:val="left"/>
      <w:pPr>
        <w:ind w:left="420" w:hanging="34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18"/>
  </w:num>
  <w:num w:numId="7">
    <w:abstractNumId w:val="8"/>
  </w:num>
  <w:num w:numId="8">
    <w:abstractNumId w:val="19"/>
  </w:num>
  <w:num w:numId="9">
    <w:abstractNumId w:val="15"/>
  </w:num>
  <w:num w:numId="10">
    <w:abstractNumId w:val="13"/>
  </w:num>
  <w:num w:numId="11">
    <w:abstractNumId w:val="10"/>
  </w:num>
  <w:num w:numId="12">
    <w:abstractNumId w:val="1"/>
  </w:num>
  <w:num w:numId="13">
    <w:abstractNumId w:val="5"/>
  </w:num>
  <w:num w:numId="14">
    <w:abstractNumId w:val="17"/>
  </w:num>
  <w:num w:numId="15">
    <w:abstractNumId w:val="2"/>
  </w:num>
  <w:num w:numId="16">
    <w:abstractNumId w:val="0"/>
  </w:num>
  <w:num w:numId="17">
    <w:abstractNumId w:val="16"/>
  </w:num>
  <w:num w:numId="18">
    <w:abstractNumId w:val="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0FAG0WGoYtAAAA"/>
  </w:docVars>
  <w:rsids>
    <w:rsidRoot w:val="00997C3F"/>
    <w:rsid w:val="00000974"/>
    <w:rsid w:val="00001C33"/>
    <w:rsid w:val="00002270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2851"/>
    <w:rsid w:val="00053654"/>
    <w:rsid w:val="00056B6E"/>
    <w:rsid w:val="00057A5A"/>
    <w:rsid w:val="00060D04"/>
    <w:rsid w:val="000627F0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253"/>
    <w:rsid w:val="00096299"/>
    <w:rsid w:val="00096A86"/>
    <w:rsid w:val="00096AD5"/>
    <w:rsid w:val="000A04B0"/>
    <w:rsid w:val="000A04F5"/>
    <w:rsid w:val="000A34BA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650A"/>
    <w:rsid w:val="00140291"/>
    <w:rsid w:val="0014061B"/>
    <w:rsid w:val="00142469"/>
    <w:rsid w:val="00146E79"/>
    <w:rsid w:val="001501B7"/>
    <w:rsid w:val="00150FEF"/>
    <w:rsid w:val="001523EC"/>
    <w:rsid w:val="001525C0"/>
    <w:rsid w:val="00152996"/>
    <w:rsid w:val="00153D4C"/>
    <w:rsid w:val="001553BB"/>
    <w:rsid w:val="00163459"/>
    <w:rsid w:val="00163600"/>
    <w:rsid w:val="00165AF8"/>
    <w:rsid w:val="00165D5D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582"/>
    <w:rsid w:val="001A7518"/>
    <w:rsid w:val="001B1381"/>
    <w:rsid w:val="001B2990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016D"/>
    <w:rsid w:val="00213EEB"/>
    <w:rsid w:val="0021603C"/>
    <w:rsid w:val="00217504"/>
    <w:rsid w:val="002175A4"/>
    <w:rsid w:val="002212A4"/>
    <w:rsid w:val="00221949"/>
    <w:rsid w:val="00222769"/>
    <w:rsid w:val="00222994"/>
    <w:rsid w:val="00227574"/>
    <w:rsid w:val="00232A9B"/>
    <w:rsid w:val="00234B7C"/>
    <w:rsid w:val="002358EA"/>
    <w:rsid w:val="00237052"/>
    <w:rsid w:val="00237483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2F7EB4"/>
    <w:rsid w:val="0030079D"/>
    <w:rsid w:val="00300EF1"/>
    <w:rsid w:val="0030192D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A793E"/>
    <w:rsid w:val="003B2037"/>
    <w:rsid w:val="003B264C"/>
    <w:rsid w:val="003B27BD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04BD1"/>
    <w:rsid w:val="00410138"/>
    <w:rsid w:val="00411264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502EC"/>
    <w:rsid w:val="00450701"/>
    <w:rsid w:val="00451A7A"/>
    <w:rsid w:val="00460D44"/>
    <w:rsid w:val="00462262"/>
    <w:rsid w:val="00467FDB"/>
    <w:rsid w:val="00471293"/>
    <w:rsid w:val="004743E7"/>
    <w:rsid w:val="004744AE"/>
    <w:rsid w:val="0047680C"/>
    <w:rsid w:val="00476A6E"/>
    <w:rsid w:val="004828CC"/>
    <w:rsid w:val="00483653"/>
    <w:rsid w:val="00486709"/>
    <w:rsid w:val="00491EF8"/>
    <w:rsid w:val="00497768"/>
    <w:rsid w:val="00497B8A"/>
    <w:rsid w:val="00497E66"/>
    <w:rsid w:val="004A053F"/>
    <w:rsid w:val="004A06DA"/>
    <w:rsid w:val="004A1327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37AC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2BEC"/>
    <w:rsid w:val="005273BA"/>
    <w:rsid w:val="00527592"/>
    <w:rsid w:val="00527E54"/>
    <w:rsid w:val="005312FA"/>
    <w:rsid w:val="00531543"/>
    <w:rsid w:val="00531D5C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53751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7841"/>
    <w:rsid w:val="005C2848"/>
    <w:rsid w:val="005C2A99"/>
    <w:rsid w:val="005C6618"/>
    <w:rsid w:val="005D02DA"/>
    <w:rsid w:val="005D06F3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16A1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05F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5405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19AE"/>
    <w:rsid w:val="0079326B"/>
    <w:rsid w:val="00794177"/>
    <w:rsid w:val="00795354"/>
    <w:rsid w:val="007958DA"/>
    <w:rsid w:val="007A282B"/>
    <w:rsid w:val="007A2EC7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785B"/>
    <w:rsid w:val="00807E1E"/>
    <w:rsid w:val="00810347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6AB8"/>
    <w:rsid w:val="00861207"/>
    <w:rsid w:val="00863EDB"/>
    <w:rsid w:val="00865759"/>
    <w:rsid w:val="00866496"/>
    <w:rsid w:val="00867D7F"/>
    <w:rsid w:val="00867DEC"/>
    <w:rsid w:val="008745C6"/>
    <w:rsid w:val="00875D39"/>
    <w:rsid w:val="00881D99"/>
    <w:rsid w:val="00881DE5"/>
    <w:rsid w:val="0088625B"/>
    <w:rsid w:val="00892478"/>
    <w:rsid w:val="00892EEF"/>
    <w:rsid w:val="008973A2"/>
    <w:rsid w:val="008A03D4"/>
    <w:rsid w:val="008A213D"/>
    <w:rsid w:val="008A3DEC"/>
    <w:rsid w:val="008A4189"/>
    <w:rsid w:val="008A44A2"/>
    <w:rsid w:val="008A7528"/>
    <w:rsid w:val="008B06C3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625"/>
    <w:rsid w:val="00920926"/>
    <w:rsid w:val="00921EB3"/>
    <w:rsid w:val="00922F58"/>
    <w:rsid w:val="00926BA5"/>
    <w:rsid w:val="00927066"/>
    <w:rsid w:val="0093101E"/>
    <w:rsid w:val="00931995"/>
    <w:rsid w:val="00931D6A"/>
    <w:rsid w:val="0093238B"/>
    <w:rsid w:val="00936BA7"/>
    <w:rsid w:val="00936CD9"/>
    <w:rsid w:val="00940BB0"/>
    <w:rsid w:val="00942CE7"/>
    <w:rsid w:val="00944096"/>
    <w:rsid w:val="00945304"/>
    <w:rsid w:val="00945324"/>
    <w:rsid w:val="009465C1"/>
    <w:rsid w:val="00946F9A"/>
    <w:rsid w:val="00946FD3"/>
    <w:rsid w:val="00947230"/>
    <w:rsid w:val="00947D74"/>
    <w:rsid w:val="00947E99"/>
    <w:rsid w:val="00950539"/>
    <w:rsid w:val="00951E07"/>
    <w:rsid w:val="00954699"/>
    <w:rsid w:val="009563DA"/>
    <w:rsid w:val="00956AED"/>
    <w:rsid w:val="009579FA"/>
    <w:rsid w:val="009653FA"/>
    <w:rsid w:val="00967FA6"/>
    <w:rsid w:val="00970087"/>
    <w:rsid w:val="00970B1D"/>
    <w:rsid w:val="00970B8A"/>
    <w:rsid w:val="00970D0F"/>
    <w:rsid w:val="009729B3"/>
    <w:rsid w:val="009729DF"/>
    <w:rsid w:val="00974377"/>
    <w:rsid w:val="00976245"/>
    <w:rsid w:val="00976B6F"/>
    <w:rsid w:val="009770B5"/>
    <w:rsid w:val="009779E5"/>
    <w:rsid w:val="00985599"/>
    <w:rsid w:val="00985866"/>
    <w:rsid w:val="0098637A"/>
    <w:rsid w:val="00990626"/>
    <w:rsid w:val="00991916"/>
    <w:rsid w:val="00991CF6"/>
    <w:rsid w:val="00992098"/>
    <w:rsid w:val="009945EE"/>
    <w:rsid w:val="009958AC"/>
    <w:rsid w:val="00995DC8"/>
    <w:rsid w:val="00997C3F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2EC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67F8"/>
    <w:rsid w:val="00A13BBA"/>
    <w:rsid w:val="00A15171"/>
    <w:rsid w:val="00A164BB"/>
    <w:rsid w:val="00A232F9"/>
    <w:rsid w:val="00A25354"/>
    <w:rsid w:val="00A321D4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2356"/>
    <w:rsid w:val="00A63246"/>
    <w:rsid w:val="00A648FE"/>
    <w:rsid w:val="00A65254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2FD1"/>
    <w:rsid w:val="00AA4EDB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376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31"/>
    <w:rsid w:val="00AF38E0"/>
    <w:rsid w:val="00AF395C"/>
    <w:rsid w:val="00AF3F9C"/>
    <w:rsid w:val="00AF4C47"/>
    <w:rsid w:val="00AF56B7"/>
    <w:rsid w:val="00AF6AA6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A74"/>
    <w:rsid w:val="00B15159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6E0A"/>
    <w:rsid w:val="00B61214"/>
    <w:rsid w:val="00B62720"/>
    <w:rsid w:val="00B62B58"/>
    <w:rsid w:val="00B6382C"/>
    <w:rsid w:val="00B64002"/>
    <w:rsid w:val="00B65CDD"/>
    <w:rsid w:val="00B65D26"/>
    <w:rsid w:val="00B75439"/>
    <w:rsid w:val="00B75B98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A651F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678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3302"/>
    <w:rsid w:val="00C73DA7"/>
    <w:rsid w:val="00C77418"/>
    <w:rsid w:val="00C80648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178A2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6E70"/>
    <w:rsid w:val="00D57440"/>
    <w:rsid w:val="00D57D2E"/>
    <w:rsid w:val="00D631FF"/>
    <w:rsid w:val="00D6440F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A8F"/>
    <w:rsid w:val="00E43FEC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44D6"/>
    <w:rsid w:val="00E855D2"/>
    <w:rsid w:val="00E87211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56BD"/>
    <w:rsid w:val="00F65B3F"/>
    <w:rsid w:val="00F65C77"/>
    <w:rsid w:val="00F705D8"/>
    <w:rsid w:val="00F70E83"/>
    <w:rsid w:val="00F70F1D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2CDB"/>
    <w:rsid w:val="00FF522E"/>
    <w:rsid w:val="00FF5C84"/>
    <w:rsid w:val="57CB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5382FA1-0483-4875-A95D-6E1269F1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qFormat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qFormat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qFormat/>
    <w:rPr>
      <w:rFonts w:ascii="Arial" w:hAnsi="Arial"/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qFormat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pPr>
      <w:spacing w:after="320"/>
      <w:ind w:firstLine="360"/>
    </w:pPr>
  </w:style>
  <w:style w:type="table" w:styleId="afa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qFormat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0">
    <w:name w:val="HTML Cite"/>
    <w:basedOn w:val="a2"/>
    <w:uiPriority w:val="99"/>
    <w:unhideWhenUsed/>
    <w:qFormat/>
    <w:rPr>
      <w:i/>
      <w:iCs/>
    </w:rPr>
  </w:style>
  <w:style w:type="character" w:styleId="aff3">
    <w:name w:val="footnote reference"/>
    <w:basedOn w:val="a2"/>
    <w:uiPriority w:val="99"/>
    <w:unhideWhenUsed/>
    <w:qFormat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styleId="aff4">
    <w:name w:val="List Paragraph"/>
    <w:basedOn w:val="a1"/>
    <w:link w:val="Chard"/>
    <w:uiPriority w:val="99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1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hard">
    <w:name w:val="列出段落 Char"/>
    <w:basedOn w:val="a2"/>
    <w:link w:val="aff4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Chard"/>
    <w:link w:val="EndNoteBibliography"/>
    <w:qFormat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f5">
    <w:name w:val="Quote"/>
    <w:basedOn w:val="a1"/>
    <w:next w:val="a1"/>
    <w:link w:val="Chare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e">
    <w:name w:val="引用 Char"/>
    <w:basedOn w:val="a2"/>
    <w:link w:val="aff5"/>
    <w:uiPriority w:val="29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Pr>
      <w:rFonts w:ascii="Arial" w:hAnsi="Arial" w:cs="Arial"/>
      <w:i/>
      <w:iCs/>
      <w:color w:val="000000" w:themeColor="text1"/>
      <w:sz w:val="28"/>
    </w:rPr>
  </w:style>
  <w:style w:type="character" w:customStyle="1" w:styleId="12">
    <w:name w:val="明显强调1"/>
    <w:basedOn w:val="a2"/>
    <w:uiPriority w:val="21"/>
    <w:qFormat/>
    <w:rPr>
      <w:b/>
      <w:bCs/>
      <w:i/>
      <w:iCs/>
      <w:color w:val="auto"/>
    </w:rPr>
  </w:style>
  <w:style w:type="paragraph" w:styleId="aff6">
    <w:name w:val="Intense Quote"/>
    <w:basedOn w:val="a1"/>
    <w:next w:val="a1"/>
    <w:link w:val="Charf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f">
    <w:name w:val="明显引用 Char"/>
    <w:basedOn w:val="a2"/>
    <w:link w:val="aff6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3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4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styleId="aff7">
    <w:name w:val="Placeholder Text"/>
    <w:basedOn w:val="a2"/>
    <w:uiPriority w:val="99"/>
    <w:semiHidden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qFormat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8">
    <w:name w:val="No Spacing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Pr>
      <w:rFonts w:ascii="Verdana" w:hAnsi="Verdana" w:hint="default"/>
      <w:color w:val="000000"/>
      <w:sz w:val="20"/>
      <w:szCs w:val="20"/>
    </w:r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</w:style>
  <w:style w:type="character" w:customStyle="1" w:styleId="example">
    <w:name w:val="example"/>
    <w:basedOn w:val="a2"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Pr>
      <w:color w:val="808080"/>
      <w:shd w:val="clear" w:color="auto" w:fill="E6E6E6"/>
    </w:rPr>
  </w:style>
  <w:style w:type="paragraph" w:customStyle="1" w:styleId="16">
    <w:name w:val="1"/>
    <w:basedOn w:val="a1"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qFormat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</w:style>
  <w:style w:type="character" w:customStyle="1" w:styleId="17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8">
    <w:name w:val="脚注文本 Char"/>
    <w:basedOn w:val="a2"/>
    <w:link w:val="af3"/>
    <w:uiPriority w:val="99"/>
    <w:qFormat/>
    <w:rPr>
      <w:rFonts w:ascii="Arial" w:eastAsiaTheme="minorEastAsia" w:hAnsi="Arial" w:cstheme="minorBidi"/>
      <w:lang w:val="en-GB" w:eastAsia="en-US"/>
    </w:rPr>
  </w:style>
  <w:style w:type="paragraph" w:customStyle="1" w:styleId="18">
    <w:name w:val="列表段落1"/>
    <w:basedOn w:val="a1"/>
    <w:uiPriority w:val="34"/>
    <w:qFormat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9">
    <w:name w:val="引用1"/>
    <w:basedOn w:val="a1"/>
    <w:next w:val="a1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a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b">
    <w:name w:val="明显引用1"/>
    <w:basedOn w:val="a1"/>
    <w:next w:val="a1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c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d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0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e">
    <w:name w:val="占位符文本1"/>
    <w:basedOn w:val="a2"/>
    <w:uiPriority w:val="99"/>
    <w:semiHidden/>
    <w:qFormat/>
    <w:rPr>
      <w:color w:val="auto"/>
    </w:rPr>
  </w:style>
  <w:style w:type="paragraph" w:customStyle="1" w:styleId="1f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f0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EndNoteBibliographyZchn">
    <w:name w:val="EndNote Bibliography Zchn"/>
    <w:basedOn w:val="a2"/>
    <w:qFormat/>
    <w:rPr>
      <w:rFonts w:ascii="Calibri" w:hAnsi="Calibri"/>
      <w:lang w:val="en-US"/>
    </w:rPr>
  </w:style>
  <w:style w:type="character" w:customStyle="1" w:styleId="110">
    <w:name w:val="未处理的提及11"/>
    <w:basedOn w:val="a2"/>
    <w:uiPriority w:val="99"/>
    <w:qFormat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ubmed.ncbi.nlm.nih.gov/32745749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ubmed.ncbi.nlm.nih.gov/23401528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med.ncbi.nlm.nih.gov/30136056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pubmed.ncbi.nlm.nih.gov/30532956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ubmed.ncbi.nlm.nih.gov/28411348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50B500-EE10-4D3F-B610-52C21968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168</TotalTime>
  <Pages>10</Pages>
  <Words>1203</Words>
  <Characters>6860</Characters>
  <Application>Microsoft Office Word</Application>
  <DocSecurity>0</DocSecurity>
  <Lines>57</Lines>
  <Paragraphs>16</Paragraphs>
  <ScaleCrop>false</ScaleCrop>
  <Company>Hewlett-Packard</Company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24</cp:revision>
  <cp:lastPrinted>2017-08-29T14:01:00Z</cp:lastPrinted>
  <dcterms:created xsi:type="dcterms:W3CDTF">2020-12-02T03:43:00Z</dcterms:created>
  <dcterms:modified xsi:type="dcterms:W3CDTF">2021-01-11T10:02:00Z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