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EC4C" w14:textId="77777777" w:rsidR="00C03546" w:rsidRDefault="0055221C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物种差异统计分析工具——</w:t>
      </w:r>
      <w:r>
        <w:rPr>
          <w:rFonts w:hint="eastAsia"/>
          <w:b/>
          <w:bCs/>
          <w:sz w:val="28"/>
          <w:szCs w:val="32"/>
        </w:rPr>
        <w:t>ALDEx2</w:t>
      </w:r>
    </w:p>
    <w:p w14:paraId="5062F5B4" w14:textId="77777777" w:rsidR="00C03546" w:rsidRDefault="00C03546">
      <w:pPr>
        <w:pStyle w:val="a0"/>
        <w:ind w:firstLineChars="200" w:firstLine="420"/>
      </w:pPr>
    </w:p>
    <w:p w14:paraId="7F78C8E9" w14:textId="77777777" w:rsidR="00C03546" w:rsidRDefault="0055221C">
      <w:pPr>
        <w:pStyle w:val="a0"/>
        <w:ind w:firstLineChars="200" w:firstLine="420"/>
      </w:pPr>
      <w:r>
        <w:rPr>
          <w:rFonts w:hint="eastAsia"/>
        </w:rPr>
        <w:t>物种差异分析是指通过统计软件查找组间有统计学差异的物种，它是菌群研究的重要内容之一。物种丰度数据具有二个显著的特点，第一是其具有稀疏性的特点，即丰度表中含有大量的</w:t>
      </w:r>
      <w:r>
        <w:rPr>
          <w:rFonts w:hint="eastAsia"/>
        </w:rPr>
        <w:t>0</w:t>
      </w:r>
      <w:r>
        <w:rPr>
          <w:rFonts w:hint="eastAsia"/>
        </w:rPr>
        <w:t>值，而且数据离散性也很明显；第二是丰度表中的数值（</w:t>
      </w:r>
      <w:r>
        <w:rPr>
          <w:rFonts w:hint="eastAsia"/>
        </w:rPr>
        <w:t>reads</w:t>
      </w:r>
      <w:r>
        <w:rPr>
          <w:rFonts w:hint="eastAsia"/>
        </w:rPr>
        <w:t>数）受文库制备和测序深度的影响，无法代表实际环境中的绝对值。这些特点给差异统计带来了巨大挑战。</w:t>
      </w:r>
    </w:p>
    <w:p w14:paraId="57C0A0A2" w14:textId="77777777" w:rsidR="00C03546" w:rsidRDefault="0055221C">
      <w:pPr>
        <w:pStyle w:val="a0"/>
        <w:ind w:firstLineChars="200" w:firstLine="420"/>
      </w:pPr>
      <w:r>
        <w:rPr>
          <w:rFonts w:hint="eastAsia"/>
        </w:rPr>
        <w:t>首先，由于丰度表具有稀疏性的特点，数据不可能服从正态分布，甚至不服从泊松分布，这种数据如果不进行预先处理，是无法用传统的</w:t>
      </w:r>
      <w:r>
        <w:rPr>
          <w:rFonts w:hint="eastAsia"/>
        </w:rPr>
        <w:t>t</w:t>
      </w:r>
      <w:r>
        <w:rPr>
          <w:rFonts w:hint="eastAsia"/>
        </w:rPr>
        <w:t>检验和方差分析等统计方法进行检验的，否则很容易产生</w:t>
      </w:r>
      <w:r>
        <w:rPr>
          <w:rFonts w:hint="eastAsia"/>
        </w:rPr>
        <w:t>I</w:t>
      </w:r>
      <w:r>
        <w:rPr>
          <w:rFonts w:hint="eastAsia"/>
        </w:rPr>
        <w:t>类错误（两组间本无差异，统计出来确有差异的现象叫</w:t>
      </w:r>
      <w:r>
        <w:rPr>
          <w:rFonts w:hint="eastAsia"/>
        </w:rPr>
        <w:t>I</w:t>
      </w:r>
      <w:r>
        <w:rPr>
          <w:rFonts w:hint="eastAsia"/>
        </w:rPr>
        <w:t>类错误）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1]</w:t>
      </w:r>
      <w:r>
        <w:rPr>
          <w:rFonts w:hint="eastAsia"/>
        </w:rPr>
        <w:t>。统计学家常用二种方法来解决丰度表的统计问题，一是对数据进行转换然后再统计，二是采用负二项分布模型进行统计。本文主要介绍第一种，这也是</w:t>
      </w:r>
      <w:r>
        <w:rPr>
          <w:rFonts w:hint="eastAsia"/>
        </w:rPr>
        <w:t>Rob Knight</w:t>
      </w:r>
      <w:r>
        <w:rPr>
          <w:rFonts w:hint="eastAsia"/>
        </w:rPr>
        <w:t>团队最认可的方法。</w:t>
      </w:r>
    </w:p>
    <w:p w14:paraId="13DF48C9" w14:textId="129294F7" w:rsidR="00C03546" w:rsidRDefault="0055221C">
      <w:pPr>
        <w:pStyle w:val="a0"/>
        <w:ind w:firstLineChars="200" w:firstLine="420"/>
      </w:pPr>
      <w:r>
        <w:rPr>
          <w:rFonts w:hint="eastAsia"/>
        </w:rPr>
        <w:t>第二个挑战来自丰度表中的</w:t>
      </w:r>
      <w:r>
        <w:rPr>
          <w:rFonts w:hint="eastAsia"/>
        </w:rPr>
        <w:t>reads</w:t>
      </w:r>
      <w:r>
        <w:rPr>
          <w:rFonts w:hint="eastAsia"/>
        </w:rPr>
        <w:t>数所代表的意义。丰度表中的</w:t>
      </w:r>
      <w:r>
        <w:rPr>
          <w:rFonts w:hint="eastAsia"/>
        </w:rPr>
        <w:t>reads</w:t>
      </w:r>
      <w:r>
        <w:rPr>
          <w:rFonts w:hint="eastAsia"/>
        </w:rPr>
        <w:t>数值除了受样本中实际物种丰度的影响外，还</w:t>
      </w:r>
      <w:r w:rsidR="00983249">
        <w:rPr>
          <w:rFonts w:hint="eastAsia"/>
        </w:rPr>
        <w:t>受</w:t>
      </w:r>
      <w:r>
        <w:rPr>
          <w:rFonts w:hint="eastAsia"/>
        </w:rPr>
        <w:t>到测序深度的影响，所以丰度表中的</w:t>
      </w:r>
      <w:r>
        <w:rPr>
          <w:rFonts w:hint="eastAsia"/>
        </w:rPr>
        <w:t>reads</w:t>
      </w:r>
      <w:r>
        <w:rPr>
          <w:rFonts w:hint="eastAsia"/>
        </w:rPr>
        <w:t>数并不是环境中实际物种丰度。我们无法使用丰度表中的数据直接用于样本间和组间差异比较。就因为这个原因，在进行差异统计前必须对丰度表中的数据进行</w:t>
      </w:r>
      <w:r>
        <w:rPr>
          <w:rFonts w:hint="eastAsia"/>
        </w:rPr>
        <w:t>n</w:t>
      </w:r>
      <w:r>
        <w:t>ormalization</w:t>
      </w:r>
      <w:r>
        <w:rPr>
          <w:rFonts w:hint="eastAsia"/>
        </w:rPr>
        <w:t>，也叫标准化或归一化，否则统计结果根本就不可信。常用的标准化方法有百分比化、抽平至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万、稀疏化（</w:t>
      </w:r>
      <w:r>
        <w:t>rarefying</w:t>
      </w:r>
      <w:r>
        <w:rPr>
          <w:rFonts w:hint="eastAsia"/>
        </w:rPr>
        <w:t>）和对数转换等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  <w:r>
        <w:rPr>
          <w:rFonts w:hint="eastAsia"/>
        </w:rPr>
        <w:t>。百分比化就是把每个样本数的</w:t>
      </w:r>
      <w:r>
        <w:rPr>
          <w:rFonts w:hint="eastAsia"/>
        </w:rPr>
        <w:t>reads</w:t>
      </w:r>
      <w:r>
        <w:rPr>
          <w:rFonts w:hint="eastAsia"/>
        </w:rPr>
        <w:t>先求百分比，使每个样本的</w:t>
      </w:r>
      <w:r>
        <w:rPr>
          <w:rFonts w:hint="eastAsia"/>
        </w:rPr>
        <w:t>reads</w:t>
      </w:r>
      <w:r>
        <w:rPr>
          <w:rFonts w:hint="eastAsia"/>
        </w:rPr>
        <w:t>合计数为</w:t>
      </w:r>
      <w:r>
        <w:rPr>
          <w:rFonts w:hint="eastAsia"/>
        </w:rPr>
        <w:t>1</w:t>
      </w:r>
      <w:r>
        <w:rPr>
          <w:rFonts w:hint="eastAsia"/>
        </w:rPr>
        <w:t>；抽平至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万方法类似于百分比化，只不过</w:t>
      </w:r>
      <w:r>
        <w:rPr>
          <w:rFonts w:hint="eastAsia"/>
        </w:rPr>
        <w:t>reads</w:t>
      </w:r>
      <w:r>
        <w:rPr>
          <w:rFonts w:hint="eastAsia"/>
        </w:rPr>
        <w:t>值没有小数点了，每个样本</w:t>
      </w:r>
      <w:r>
        <w:rPr>
          <w:rFonts w:hint="eastAsia"/>
        </w:rPr>
        <w:t>reads</w:t>
      </w:r>
      <w:r>
        <w:rPr>
          <w:rFonts w:hint="eastAsia"/>
        </w:rPr>
        <w:t>合计数为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万；对数转换是目前最流行的方法，具体方法是先用很小的数值替换丰度表中的</w:t>
      </w:r>
      <w:r>
        <w:rPr>
          <w:rFonts w:hint="eastAsia"/>
        </w:rPr>
        <w:t>0</w:t>
      </w:r>
      <w:r>
        <w:rPr>
          <w:rFonts w:hint="eastAsia"/>
        </w:rPr>
        <w:t>值，然后在求对数</w:t>
      </w:r>
      <w:r w:rsidR="007F583B">
        <w:rPr>
          <w:rFonts w:hint="eastAsia"/>
          <w:vertAlign w:val="superscript"/>
        </w:rPr>
        <w:t>[</w:t>
      </w:r>
      <w:r w:rsidR="007F583B">
        <w:rPr>
          <w:vertAlign w:val="superscript"/>
        </w:rPr>
        <w:t>2]</w:t>
      </w:r>
      <w:r>
        <w:rPr>
          <w:rFonts w:hint="eastAsia"/>
        </w:rPr>
        <w:t>。百分比化和抽平至百万的方法会产生明显的数据扭曲，产生负相关偏倚（</w:t>
      </w:r>
      <w:r>
        <w:rPr>
          <w:rFonts w:hint="eastAsia"/>
        </w:rPr>
        <w:t>negative correlation bias</w:t>
      </w:r>
      <w:r>
        <w:rPr>
          <w:rFonts w:hint="eastAsia"/>
        </w:rPr>
        <w:t>），导致相关或基于相关分析的方法均无效，这些方法包括</w:t>
      </w:r>
      <w:r>
        <w:rPr>
          <w:rFonts w:hint="eastAsia"/>
        </w:rPr>
        <w:t>PCA</w:t>
      </w:r>
      <w:r>
        <w:rPr>
          <w:rFonts w:hint="eastAsia"/>
        </w:rPr>
        <w:t>、相关网络等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3]</w:t>
      </w:r>
      <w:r>
        <w:rPr>
          <w:rFonts w:hint="eastAsia"/>
        </w:rPr>
        <w:t>，所以如果是用于物种差异分析，这二种标准化方法均不可取。下图中间的小图就是百分比转换，可以看出数据出现扭曲。对数转换是目前认为比较靠谱的方法之一，也是</w:t>
      </w:r>
      <w:r>
        <w:rPr>
          <w:rFonts w:hint="eastAsia"/>
        </w:rPr>
        <w:t>Rob Knight</w:t>
      </w:r>
      <w:r>
        <w:rPr>
          <w:rFonts w:hint="eastAsia"/>
        </w:rPr>
        <w:t>团队最推崇的方法，下文介绍的</w:t>
      </w:r>
      <w:r>
        <w:rPr>
          <w:rFonts w:hint="eastAsia"/>
        </w:rPr>
        <w:t>ALDEx2</w:t>
      </w:r>
      <w:r>
        <w:rPr>
          <w:rFonts w:hint="eastAsia"/>
        </w:rPr>
        <w:t>方法就是典型的对数转换方法之一。</w:t>
      </w:r>
    </w:p>
    <w:p w14:paraId="77F80A01" w14:textId="77777777" w:rsidR="00C03546" w:rsidRDefault="0055221C">
      <w:pPr>
        <w:pStyle w:val="a0"/>
      </w:pPr>
      <w:r>
        <w:rPr>
          <w:noProof/>
        </w:rPr>
        <w:drawing>
          <wp:inline distT="0" distB="0" distL="0" distR="0" wp14:anchorId="122D0B70" wp14:editId="651C9217">
            <wp:extent cx="5274310" cy="1979295"/>
            <wp:effectExtent l="0" t="0" r="2540" b="190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B10B" w14:textId="77777777" w:rsidR="00C03546" w:rsidRDefault="0055221C">
      <w:pPr>
        <w:pStyle w:val="a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：不同标准化方法对数据的影响。</w:t>
      </w:r>
    </w:p>
    <w:p w14:paraId="26289D08" w14:textId="77777777" w:rsidR="00C03546" w:rsidRDefault="0055221C">
      <w:pPr>
        <w:pStyle w:val="a0"/>
        <w:spacing w:beforeLines="50" w:before="156"/>
        <w:ind w:firstLineChars="200" w:firstLine="420"/>
      </w:pPr>
      <w:r>
        <w:rPr>
          <w:rFonts w:hint="eastAsia"/>
        </w:rPr>
        <w:t>下面详细介绍</w:t>
      </w:r>
      <w:r>
        <w:rPr>
          <w:rFonts w:hint="eastAsia"/>
        </w:rPr>
        <w:t>ALDEx2</w:t>
      </w:r>
      <w:r>
        <w:rPr>
          <w:rFonts w:hint="eastAsia"/>
        </w:rPr>
        <w:t>用于物种差异分析的代码及注意事项。</w:t>
      </w:r>
    </w:p>
    <w:p w14:paraId="7F1D11EC" w14:textId="03CEBDC8" w:rsidR="00C03546" w:rsidRDefault="0055221C">
      <w:pPr>
        <w:pStyle w:val="a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</w:t>
      </w:r>
      <w:r w:rsidR="00B87998">
        <w:rPr>
          <w:rFonts w:hint="eastAsia"/>
          <w:b/>
          <w:bCs/>
        </w:rPr>
        <w:t>加载包和数据初步处理</w:t>
      </w:r>
    </w:p>
    <w:p w14:paraId="19458429" w14:textId="3C02F969" w:rsidR="00C03546" w:rsidRDefault="0055221C">
      <w:pPr>
        <w:pStyle w:val="a0"/>
        <w:ind w:firstLineChars="200" w:firstLine="420"/>
      </w:pPr>
      <w:r>
        <w:rPr>
          <w:rFonts w:hint="eastAsia"/>
        </w:rPr>
        <w:t>本文的演示数据为</w:t>
      </w:r>
      <w:r w:rsidR="00E37F8A">
        <w:rPr>
          <w:rFonts w:hint="eastAsia"/>
        </w:rPr>
        <w:t>Qiime 2</w:t>
      </w:r>
      <w:r w:rsidR="00E37F8A">
        <w:rPr>
          <w:rFonts w:hint="eastAsia"/>
        </w:rPr>
        <w:t>教程中的粪菌移植演练</w:t>
      </w:r>
      <w:r>
        <w:rPr>
          <w:rFonts w:hint="eastAsia"/>
        </w:rPr>
        <w:t>数据，后台回复</w:t>
      </w:r>
      <w:r>
        <w:rPr>
          <w:rFonts w:hint="eastAsia"/>
        </w:rPr>
        <w:t>ALDEx2</w:t>
      </w:r>
      <w:r>
        <w:rPr>
          <w:rFonts w:hint="eastAsia"/>
        </w:rPr>
        <w:t>即可获得演示数据和</w:t>
      </w:r>
      <w:r>
        <w:rPr>
          <w:rFonts w:hint="eastAsia"/>
        </w:rPr>
        <w:t>R</w:t>
      </w:r>
      <w:r>
        <w:rPr>
          <w:rFonts w:hint="eastAsia"/>
        </w:rPr>
        <w:t>代码下载方式。</w:t>
      </w:r>
      <w:r w:rsidR="00652357">
        <w:rPr>
          <w:rFonts w:hint="eastAsia"/>
        </w:rPr>
        <w:t>ALDEx2</w:t>
      </w:r>
      <w:r w:rsidR="00652357">
        <w:rPr>
          <w:rFonts w:hint="eastAsia"/>
        </w:rPr>
        <w:t>需要的数据必须是</w:t>
      </w:r>
      <w:r w:rsidR="00652357" w:rsidRPr="00652357">
        <w:rPr>
          <w:rFonts w:hint="eastAsia"/>
        </w:rPr>
        <w:t>行名为</w:t>
      </w:r>
      <w:r w:rsidR="00652357" w:rsidRPr="00652357">
        <w:rPr>
          <w:rFonts w:hint="eastAsia"/>
        </w:rPr>
        <w:t>OTU</w:t>
      </w:r>
      <w:r w:rsidR="00652357" w:rsidRPr="00652357">
        <w:rPr>
          <w:rFonts w:hint="eastAsia"/>
        </w:rPr>
        <w:t>，列名为样本名</w:t>
      </w:r>
      <w:r w:rsidR="00652357">
        <w:rPr>
          <w:rFonts w:hint="eastAsia"/>
        </w:rPr>
        <w:t>。</w:t>
      </w:r>
    </w:p>
    <w:p w14:paraId="5E899CF0" w14:textId="014F6F0A" w:rsidR="00652357" w:rsidRDefault="00FD2AF0" w:rsidP="00652357">
      <w:pPr>
        <w:pStyle w:val="a0"/>
        <w:ind w:firstLineChars="200" w:firstLine="420"/>
      </w:pPr>
      <w:r>
        <w:rPr>
          <w:rFonts w:hint="eastAsia"/>
        </w:rPr>
        <w:t>###</w:t>
      </w:r>
      <w:r>
        <w:rPr>
          <w:rFonts w:hint="eastAsia"/>
        </w:rPr>
        <w:t>加载包</w:t>
      </w:r>
    </w:p>
    <w:p w14:paraId="1D196529" w14:textId="330B9616" w:rsidR="00652357" w:rsidRDefault="00652357" w:rsidP="00652357">
      <w:pPr>
        <w:pStyle w:val="a0"/>
        <w:ind w:firstLineChars="200" w:firstLine="420"/>
      </w:pPr>
      <w:r>
        <w:t>library(ALDEx2)</w:t>
      </w:r>
    </w:p>
    <w:p w14:paraId="1AEBC6AE" w14:textId="5F638DD3" w:rsidR="00C03546" w:rsidRDefault="00652357" w:rsidP="00652357">
      <w:pPr>
        <w:pStyle w:val="a0"/>
        <w:ind w:firstLineChars="200" w:firstLine="420"/>
      </w:pPr>
      <w:r>
        <w:lastRenderedPageBreak/>
        <w:t>library(ggplot2)</w:t>
      </w:r>
    </w:p>
    <w:p w14:paraId="0944C487" w14:textId="3A7ACAB8" w:rsidR="00FD2AF0" w:rsidRDefault="00FD2AF0" w:rsidP="00652357">
      <w:pPr>
        <w:pStyle w:val="a0"/>
        <w:ind w:firstLineChars="200" w:firstLine="420"/>
      </w:pPr>
      <w:r>
        <w:rPr>
          <w:rFonts w:hint="eastAsia"/>
        </w:rPr>
        <w:t>###</w:t>
      </w:r>
      <w:r>
        <w:rPr>
          <w:rFonts w:hint="eastAsia"/>
        </w:rPr>
        <w:t>读入数据，将数据转置为</w:t>
      </w:r>
      <w:r w:rsidRPr="00652357">
        <w:rPr>
          <w:rFonts w:hint="eastAsia"/>
        </w:rPr>
        <w:t>行名为</w:t>
      </w:r>
      <w:r w:rsidRPr="00652357">
        <w:rPr>
          <w:rFonts w:hint="eastAsia"/>
        </w:rPr>
        <w:t>OTU</w:t>
      </w:r>
      <w:r w:rsidR="00F7165E">
        <w:rPr>
          <w:rFonts w:hint="eastAsia"/>
        </w:rPr>
        <w:t>名</w:t>
      </w:r>
      <w:r w:rsidRPr="00652357">
        <w:rPr>
          <w:rFonts w:hint="eastAsia"/>
        </w:rPr>
        <w:t>，列名为样本名</w:t>
      </w:r>
    </w:p>
    <w:p w14:paraId="36351E1D" w14:textId="77777777" w:rsidR="00FD2AF0" w:rsidRDefault="00FD2AF0" w:rsidP="00FD2AF0">
      <w:pPr>
        <w:pStyle w:val="a0"/>
        <w:ind w:firstLineChars="200" w:firstLine="420"/>
      </w:pPr>
      <w:r>
        <w:t>mydata &lt;- read.csv('fmt.csv', skip=1, row.names=1, head=T)</w:t>
      </w:r>
    </w:p>
    <w:p w14:paraId="2ED10006" w14:textId="77777777" w:rsidR="00FD2AF0" w:rsidRDefault="00FD2AF0" w:rsidP="00FD2AF0">
      <w:pPr>
        <w:pStyle w:val="a0"/>
        <w:ind w:firstLineChars="200" w:firstLine="420"/>
      </w:pPr>
      <w:r>
        <w:t>mydata[1:10, 1:20]</w:t>
      </w:r>
    </w:p>
    <w:p w14:paraId="22FAB694" w14:textId="77777777" w:rsidR="00FD2AF0" w:rsidRDefault="00FD2AF0" w:rsidP="00FD2AF0">
      <w:pPr>
        <w:pStyle w:val="a0"/>
        <w:ind w:firstLineChars="200" w:firstLine="420"/>
      </w:pPr>
      <w:r>
        <w:rPr>
          <w:rFonts w:hint="eastAsia"/>
        </w:rPr>
        <w:t>otu &lt;- data.frame(t(mydata))  #ALDEx2</w:t>
      </w:r>
      <w:r>
        <w:rPr>
          <w:rFonts w:hint="eastAsia"/>
        </w:rPr>
        <w:t>必须行名为</w:t>
      </w:r>
      <w:r>
        <w:rPr>
          <w:rFonts w:hint="eastAsia"/>
        </w:rPr>
        <w:t>OTU</w:t>
      </w:r>
      <w:r>
        <w:rPr>
          <w:rFonts w:hint="eastAsia"/>
        </w:rPr>
        <w:t>，列名为样本名</w:t>
      </w:r>
    </w:p>
    <w:p w14:paraId="6231B403" w14:textId="073B21C9" w:rsidR="00C03546" w:rsidRDefault="00FD2AF0" w:rsidP="00FD2AF0">
      <w:pPr>
        <w:pStyle w:val="a0"/>
        <w:ind w:firstLineChars="200" w:firstLine="420"/>
      </w:pPr>
      <w:r>
        <w:t>otu[1:10, 1:20]</w:t>
      </w:r>
    </w:p>
    <w:p w14:paraId="6501950A" w14:textId="31FD4AF2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###</w:t>
      </w:r>
      <w:r>
        <w:rPr>
          <w:rFonts w:hint="eastAsia"/>
        </w:rPr>
        <w:t>分组文件</w:t>
      </w:r>
    </w:p>
    <w:p w14:paraId="08BF911B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group &lt;- substring(colnames(otu), 1, 1)  #</w:t>
      </w:r>
      <w:r>
        <w:rPr>
          <w:rFonts w:hint="eastAsia"/>
        </w:rPr>
        <w:t>截取列名前</w:t>
      </w:r>
      <w:r>
        <w:rPr>
          <w:rFonts w:hint="eastAsia"/>
        </w:rPr>
        <w:t>1</w:t>
      </w:r>
      <w:r>
        <w:rPr>
          <w:rFonts w:hint="eastAsia"/>
        </w:rPr>
        <w:t>个字母作为组别名</w:t>
      </w:r>
    </w:p>
    <w:p w14:paraId="6B022787" w14:textId="77777777" w:rsidR="00B87998" w:rsidRDefault="00B87998" w:rsidP="00F7165E">
      <w:pPr>
        <w:pStyle w:val="a0"/>
        <w:ind w:firstLineChars="200" w:firstLine="420"/>
      </w:pPr>
    </w:p>
    <w:p w14:paraId="65EEF5DB" w14:textId="6B8BBDED" w:rsidR="00F7165E" w:rsidRPr="00B87998" w:rsidRDefault="00B87998" w:rsidP="00F7165E">
      <w:pPr>
        <w:pStyle w:val="a0"/>
        <w:ind w:firstLineChars="200" w:firstLine="422"/>
        <w:rPr>
          <w:b/>
          <w:bCs/>
        </w:rPr>
      </w:pPr>
      <w:r w:rsidRPr="00B87998">
        <w:rPr>
          <w:rFonts w:hint="eastAsia"/>
          <w:b/>
          <w:bCs/>
        </w:rPr>
        <w:t>二、</w:t>
      </w:r>
      <w:r w:rsidR="00F7165E" w:rsidRPr="00B87998">
        <w:rPr>
          <w:rFonts w:hint="eastAsia"/>
          <w:b/>
          <w:bCs/>
        </w:rPr>
        <w:t>统计过程</w:t>
      </w:r>
    </w:p>
    <w:p w14:paraId="1B5AC534" w14:textId="77777777" w:rsidR="00F7165E" w:rsidRDefault="00F7165E" w:rsidP="00F7165E">
      <w:pPr>
        <w:pStyle w:val="a0"/>
        <w:ind w:firstLineChars="200" w:firstLine="420"/>
      </w:pPr>
      <w:r>
        <w:t>set.seed(1000)</w:t>
      </w:r>
    </w:p>
    <w:p w14:paraId="044C0BEC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otu.log &lt;- aldex.clr(otu, group, mc.samples=128, verbose=TRUE)  #log</w:t>
      </w:r>
      <w:r>
        <w:rPr>
          <w:rFonts w:hint="eastAsia"/>
        </w:rPr>
        <w:t>转换，输入文件行必须是</w:t>
      </w:r>
      <w:r>
        <w:rPr>
          <w:rFonts w:hint="eastAsia"/>
        </w:rPr>
        <w:t>OTU</w:t>
      </w:r>
      <w:r>
        <w:rPr>
          <w:rFonts w:hint="eastAsia"/>
        </w:rPr>
        <w:t>，列是样本名</w:t>
      </w:r>
    </w:p>
    <w:p w14:paraId="747220C4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otu.test &lt;- aldex.ttest(otu.log, group, paired.test=FALSE)  #Welch</w:t>
      </w:r>
      <w:r>
        <w:rPr>
          <w:rFonts w:hint="eastAsia"/>
        </w:rPr>
        <w:t>和</w:t>
      </w:r>
      <w:r>
        <w:rPr>
          <w:rFonts w:hint="eastAsia"/>
        </w:rPr>
        <w:t>Wilcoxon</w:t>
      </w:r>
      <w:r>
        <w:rPr>
          <w:rFonts w:hint="eastAsia"/>
        </w:rPr>
        <w:t>检验</w:t>
      </w:r>
    </w:p>
    <w:p w14:paraId="595FFCB5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head(otu.test)  #we.ep</w:t>
      </w:r>
      <w:r>
        <w:rPr>
          <w:rFonts w:hint="eastAsia"/>
        </w:rPr>
        <w:t>为</w:t>
      </w:r>
      <w:r>
        <w:rPr>
          <w:rFonts w:hint="eastAsia"/>
        </w:rPr>
        <w:t>welch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值，</w:t>
      </w:r>
      <w:r>
        <w:rPr>
          <w:rFonts w:hint="eastAsia"/>
        </w:rPr>
        <w:t>we.eBH</w:t>
      </w:r>
      <w:r>
        <w:rPr>
          <w:rFonts w:hint="eastAsia"/>
        </w:rPr>
        <w:t>为校正</w:t>
      </w:r>
      <w:r>
        <w:rPr>
          <w:rFonts w:hint="eastAsia"/>
        </w:rPr>
        <w:t>P</w:t>
      </w:r>
      <w:r>
        <w:rPr>
          <w:rFonts w:hint="eastAsia"/>
        </w:rPr>
        <w:t>值；</w:t>
      </w:r>
      <w:r>
        <w:rPr>
          <w:rFonts w:hint="eastAsia"/>
        </w:rPr>
        <w:t>wi.ep</w:t>
      </w:r>
      <w:r>
        <w:rPr>
          <w:rFonts w:hint="eastAsia"/>
        </w:rPr>
        <w:t>为</w:t>
      </w:r>
      <w:r>
        <w:rPr>
          <w:rFonts w:hint="eastAsia"/>
        </w:rPr>
        <w:t>WilcoxonP</w:t>
      </w:r>
      <w:r>
        <w:rPr>
          <w:rFonts w:hint="eastAsia"/>
        </w:rPr>
        <w:t>值，</w:t>
      </w:r>
      <w:r>
        <w:rPr>
          <w:rFonts w:hint="eastAsia"/>
        </w:rPr>
        <w:t>wi.eBH</w:t>
      </w:r>
      <w:r>
        <w:rPr>
          <w:rFonts w:hint="eastAsia"/>
        </w:rPr>
        <w:t>为校正</w:t>
      </w:r>
      <w:r>
        <w:rPr>
          <w:rFonts w:hint="eastAsia"/>
        </w:rPr>
        <w:t>P</w:t>
      </w:r>
      <w:r>
        <w:rPr>
          <w:rFonts w:hint="eastAsia"/>
        </w:rPr>
        <w:t>值</w:t>
      </w:r>
    </w:p>
    <w:p w14:paraId="7677D955" w14:textId="36313103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#</w:t>
      </w:r>
      <w:r w:rsidR="002330E6">
        <w:rPr>
          <w:rFonts w:hint="eastAsia"/>
        </w:rPr>
        <w:t>##</w:t>
      </w:r>
      <w:r>
        <w:rPr>
          <w:rFonts w:hint="eastAsia"/>
        </w:rPr>
        <w:t>计算</w:t>
      </w:r>
      <w:r>
        <w:rPr>
          <w:rFonts w:hint="eastAsia"/>
        </w:rPr>
        <w:t>Effect Size</w:t>
      </w:r>
    </w:p>
    <w:p w14:paraId="6ED99B38" w14:textId="23A94335" w:rsidR="00F7165E" w:rsidRDefault="00F7165E" w:rsidP="00F7165E">
      <w:pPr>
        <w:pStyle w:val="a0"/>
        <w:ind w:firstLineChars="200" w:firstLine="420"/>
      </w:pPr>
      <w:r>
        <w:t>otu.effect &lt;- aldex.effect(otu.log, include.sample.summary=FALSE, verbose=FALSE)</w:t>
      </w:r>
    </w:p>
    <w:p w14:paraId="1846DD92" w14:textId="71AEDA24" w:rsidR="00B87998" w:rsidRDefault="00B87998" w:rsidP="00F7165E">
      <w:pPr>
        <w:pStyle w:val="a0"/>
        <w:ind w:firstLineChars="200" w:firstLine="420"/>
      </w:pPr>
    </w:p>
    <w:p w14:paraId="5BF38871" w14:textId="298FCFB2" w:rsidR="00B87998" w:rsidRPr="00095859" w:rsidRDefault="00B87998" w:rsidP="00F7165E">
      <w:pPr>
        <w:pStyle w:val="a0"/>
        <w:ind w:firstLineChars="200" w:firstLine="422"/>
        <w:rPr>
          <w:b/>
          <w:bCs/>
        </w:rPr>
      </w:pPr>
      <w:r w:rsidRPr="00095859">
        <w:rPr>
          <w:rFonts w:hint="eastAsia"/>
          <w:b/>
          <w:bCs/>
        </w:rPr>
        <w:t>三、查看统计结果</w:t>
      </w:r>
    </w:p>
    <w:p w14:paraId="73BE16F7" w14:textId="30F49303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#</w:t>
      </w:r>
      <w:r w:rsidR="002330E6">
        <w:rPr>
          <w:rFonts w:hint="eastAsia"/>
        </w:rPr>
        <w:t>##</w:t>
      </w:r>
      <w:r w:rsidR="00E066D3"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值文件和效应文件合成一个文件</w:t>
      </w:r>
    </w:p>
    <w:p w14:paraId="5E840082" w14:textId="77777777" w:rsidR="00F7165E" w:rsidRDefault="00F7165E" w:rsidP="00F7165E">
      <w:pPr>
        <w:pStyle w:val="a0"/>
        <w:ind w:firstLineChars="200" w:firstLine="420"/>
      </w:pPr>
      <w:r>
        <w:t>otu.p.all &lt;- data.frame(otu.test, otu.effect)</w:t>
      </w:r>
    </w:p>
    <w:p w14:paraId="091461F5" w14:textId="77777777" w:rsidR="00F7165E" w:rsidRDefault="00F7165E" w:rsidP="00F7165E">
      <w:pPr>
        <w:pStyle w:val="a0"/>
        <w:ind w:firstLineChars="200" w:firstLine="420"/>
      </w:pPr>
      <w:r>
        <w:t>head(otu.p.all)</w:t>
      </w:r>
    </w:p>
    <w:p w14:paraId="5D97096A" w14:textId="41DF8111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#</w:t>
      </w:r>
      <w:r w:rsidR="002330E6">
        <w:rPr>
          <w:rFonts w:hint="eastAsia"/>
        </w:rPr>
        <w:t>##</w:t>
      </w:r>
      <w:r>
        <w:rPr>
          <w:rFonts w:hint="eastAsia"/>
        </w:rPr>
        <w:t>筛选出</w:t>
      </w:r>
      <w:r>
        <w:rPr>
          <w:rFonts w:hint="eastAsia"/>
        </w:rPr>
        <w:t>P</w:t>
      </w:r>
      <w:r>
        <w:rPr>
          <w:rFonts w:hint="eastAsia"/>
        </w:rPr>
        <w:t>值＜</w:t>
      </w:r>
      <w:r>
        <w:rPr>
          <w:rFonts w:hint="eastAsia"/>
        </w:rPr>
        <w:t>0.05</w:t>
      </w:r>
      <w:r>
        <w:rPr>
          <w:rFonts w:hint="eastAsia"/>
        </w:rPr>
        <w:t>的数据</w:t>
      </w:r>
    </w:p>
    <w:p w14:paraId="06510FE3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subset(otu.p.all, otu.p.all$we.ep &lt; 0.05)   #Welch</w:t>
      </w:r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值＜</w:t>
      </w:r>
      <w:r>
        <w:rPr>
          <w:rFonts w:hint="eastAsia"/>
        </w:rPr>
        <w:t>0.05</w:t>
      </w:r>
    </w:p>
    <w:p w14:paraId="6EDB2BEA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subset(otu.p.all, otu.p.all$we.eBH &lt; 0.05)  #Welch</w:t>
      </w:r>
      <w:r>
        <w:rPr>
          <w:rFonts w:hint="eastAsia"/>
        </w:rPr>
        <w:t>检验校正</w:t>
      </w:r>
      <w:r>
        <w:rPr>
          <w:rFonts w:hint="eastAsia"/>
        </w:rPr>
        <w:t>P</w:t>
      </w:r>
      <w:r>
        <w:rPr>
          <w:rFonts w:hint="eastAsia"/>
        </w:rPr>
        <w:t>值＜</w:t>
      </w:r>
      <w:r>
        <w:rPr>
          <w:rFonts w:hint="eastAsia"/>
        </w:rPr>
        <w:t>0.05</w:t>
      </w:r>
    </w:p>
    <w:p w14:paraId="69308F8A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subset(otu.p.all, otu.p.all$wi.ep &lt; 0.05)   #Wilcoxon</w:t>
      </w:r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值＜</w:t>
      </w:r>
      <w:r>
        <w:rPr>
          <w:rFonts w:hint="eastAsia"/>
        </w:rPr>
        <w:t>0.05</w:t>
      </w:r>
    </w:p>
    <w:p w14:paraId="06FF91C1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subset(otu.p.all, otu.p.all$wi.eBH &lt; 0.05)  #Wilcoxon</w:t>
      </w:r>
      <w:r>
        <w:rPr>
          <w:rFonts w:hint="eastAsia"/>
        </w:rPr>
        <w:t>检验校正</w:t>
      </w:r>
      <w:r>
        <w:rPr>
          <w:rFonts w:hint="eastAsia"/>
        </w:rPr>
        <w:t>P</w:t>
      </w:r>
      <w:r>
        <w:rPr>
          <w:rFonts w:hint="eastAsia"/>
        </w:rPr>
        <w:t>值＜</w:t>
      </w:r>
      <w:r>
        <w:rPr>
          <w:rFonts w:hint="eastAsia"/>
        </w:rPr>
        <w:t>0.05</w:t>
      </w:r>
    </w:p>
    <w:p w14:paraId="15874CD1" w14:textId="77777777" w:rsidR="00F7165E" w:rsidRDefault="00F7165E" w:rsidP="00F7165E">
      <w:pPr>
        <w:pStyle w:val="a0"/>
        <w:ind w:firstLineChars="200" w:firstLine="420"/>
      </w:pPr>
      <w:r>
        <w:rPr>
          <w:rFonts w:hint="eastAsia"/>
        </w:rPr>
        <w:t>subset(otu.p.all, otu.p.all$effect &lt; -0.5)  #</w:t>
      </w:r>
      <w:r>
        <w:rPr>
          <w:rFonts w:hint="eastAsia"/>
        </w:rPr>
        <w:t>查看有哪些</w:t>
      </w:r>
      <w:r>
        <w:rPr>
          <w:rFonts w:hint="eastAsia"/>
        </w:rPr>
        <w:t>otu</w:t>
      </w:r>
      <w:r>
        <w:rPr>
          <w:rFonts w:hint="eastAsia"/>
        </w:rPr>
        <w:t>的</w:t>
      </w:r>
      <w:r>
        <w:rPr>
          <w:rFonts w:hint="eastAsia"/>
        </w:rPr>
        <w:t>effect</w:t>
      </w:r>
      <w:r>
        <w:rPr>
          <w:rFonts w:hint="eastAsia"/>
        </w:rPr>
        <w:t>＜</w:t>
      </w:r>
      <w:r>
        <w:rPr>
          <w:rFonts w:hint="eastAsia"/>
        </w:rPr>
        <w:t>-0.5</w:t>
      </w:r>
    </w:p>
    <w:p w14:paraId="27D3B6C6" w14:textId="029AAE25" w:rsidR="00C03546" w:rsidRDefault="00F7165E" w:rsidP="00F7165E">
      <w:pPr>
        <w:pStyle w:val="a0"/>
        <w:ind w:firstLineChars="200" w:firstLine="420"/>
      </w:pPr>
      <w:r>
        <w:rPr>
          <w:rFonts w:hint="eastAsia"/>
        </w:rPr>
        <w:t>subset(otu.p.all, otu.p.all$effect &gt; 0.5)   #</w:t>
      </w:r>
      <w:r>
        <w:rPr>
          <w:rFonts w:hint="eastAsia"/>
        </w:rPr>
        <w:t>查看有哪些</w:t>
      </w:r>
      <w:r>
        <w:rPr>
          <w:rFonts w:hint="eastAsia"/>
        </w:rPr>
        <w:t>otu</w:t>
      </w:r>
      <w:r>
        <w:rPr>
          <w:rFonts w:hint="eastAsia"/>
        </w:rPr>
        <w:t>的</w:t>
      </w:r>
      <w:r>
        <w:rPr>
          <w:rFonts w:hint="eastAsia"/>
        </w:rPr>
        <w:t>effect</w:t>
      </w:r>
      <w:r>
        <w:rPr>
          <w:rFonts w:hint="eastAsia"/>
        </w:rPr>
        <w:t>＜</w:t>
      </w:r>
      <w:r>
        <w:rPr>
          <w:rFonts w:hint="eastAsia"/>
        </w:rPr>
        <w:t>-0.5</w:t>
      </w:r>
    </w:p>
    <w:p w14:paraId="74DE5A31" w14:textId="77777777" w:rsidR="00095859" w:rsidRDefault="00095859" w:rsidP="00E066D3">
      <w:pPr>
        <w:pStyle w:val="a0"/>
        <w:ind w:firstLineChars="200" w:firstLine="420"/>
      </w:pPr>
    </w:p>
    <w:p w14:paraId="0A7B0E8C" w14:textId="6B30548F" w:rsidR="00E066D3" w:rsidRPr="00095859" w:rsidRDefault="0055221C" w:rsidP="00E066D3">
      <w:pPr>
        <w:pStyle w:val="a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四</w:t>
      </w:r>
      <w:r w:rsidR="00095859" w:rsidRPr="00095859">
        <w:rPr>
          <w:rFonts w:hint="eastAsia"/>
          <w:b/>
          <w:bCs/>
        </w:rPr>
        <w:t>、可视化</w:t>
      </w:r>
    </w:p>
    <w:p w14:paraId="19DE6FA1" w14:textId="3F5D0AE3" w:rsidR="00095859" w:rsidRDefault="00095859" w:rsidP="00E066D3">
      <w:pPr>
        <w:pStyle w:val="a0"/>
        <w:ind w:firstLineChars="200" w:firstLine="420"/>
      </w:pPr>
      <w:r>
        <w:rPr>
          <w:rFonts w:hint="eastAsia"/>
        </w:rPr>
        <w:t>将</w:t>
      </w:r>
      <w:r w:rsidR="009531D7">
        <w:rPr>
          <w:rFonts w:hint="eastAsia"/>
        </w:rPr>
        <w:t>效应值作为</w:t>
      </w:r>
      <w:r w:rsidR="009531D7">
        <w:rPr>
          <w:rFonts w:hint="eastAsia"/>
        </w:rPr>
        <w:t>X</w:t>
      </w:r>
      <w:r w:rsidR="009531D7">
        <w:rPr>
          <w:rFonts w:hint="eastAsia"/>
        </w:rPr>
        <w:t>轴，</w:t>
      </w:r>
      <w:r w:rsidR="00236296">
        <w:rPr>
          <w:rFonts w:hint="eastAsia"/>
        </w:rPr>
        <w:t>校正后的</w:t>
      </w:r>
      <w:r w:rsidR="009531D7">
        <w:rPr>
          <w:rFonts w:hint="eastAsia"/>
        </w:rPr>
        <w:t>Wilcoxon</w:t>
      </w:r>
      <w:r w:rsidR="009531D7">
        <w:rPr>
          <w:rFonts w:hint="eastAsia"/>
        </w:rPr>
        <w:t>检验</w:t>
      </w:r>
      <w:r w:rsidR="009531D7">
        <w:rPr>
          <w:rFonts w:hint="eastAsia"/>
        </w:rPr>
        <w:t>P</w:t>
      </w:r>
      <w:r w:rsidR="009531D7">
        <w:rPr>
          <w:rFonts w:hint="eastAsia"/>
        </w:rPr>
        <w:t>值作为</w:t>
      </w:r>
      <w:r w:rsidR="009531D7">
        <w:rPr>
          <w:rFonts w:hint="eastAsia"/>
        </w:rPr>
        <w:t>Y</w:t>
      </w:r>
      <w:r w:rsidR="009531D7">
        <w:rPr>
          <w:rFonts w:hint="eastAsia"/>
        </w:rPr>
        <w:t>轴绘制散点图。</w:t>
      </w:r>
    </w:p>
    <w:p w14:paraId="6D4FA3D8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otu.p.all$sig.otu &lt;- ifelse(otu.p.all$wi.eBH &lt; 0.05, "P </w:t>
      </w:r>
      <w:r>
        <w:rPr>
          <w:rFonts w:hint="eastAsia"/>
        </w:rPr>
        <w:t>＜</w:t>
      </w:r>
      <w:r>
        <w:rPr>
          <w:rFonts w:hint="eastAsia"/>
        </w:rPr>
        <w:t xml:space="preserve"> 0.05", "P </w:t>
      </w:r>
      <w:r>
        <w:rPr>
          <w:rFonts w:hint="eastAsia"/>
        </w:rPr>
        <w:t>＞</w:t>
      </w:r>
      <w:r>
        <w:rPr>
          <w:rFonts w:hint="eastAsia"/>
        </w:rPr>
        <w:t xml:space="preserve"> 0.05")  #</w:t>
      </w:r>
      <w:r>
        <w:rPr>
          <w:rFonts w:hint="eastAsia"/>
        </w:rPr>
        <w:t>把</w:t>
      </w:r>
      <w:r>
        <w:rPr>
          <w:rFonts w:hint="eastAsia"/>
        </w:rPr>
        <w:t>Wilcoxon</w:t>
      </w:r>
      <w:r>
        <w:rPr>
          <w:rFonts w:hint="eastAsia"/>
        </w:rPr>
        <w:t>校正</w:t>
      </w:r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&lt;0.5</w:t>
      </w:r>
      <w:r>
        <w:rPr>
          <w:rFonts w:hint="eastAsia"/>
        </w:rPr>
        <w:t>的标记为”</w:t>
      </w:r>
      <w:r>
        <w:rPr>
          <w:rFonts w:hint="eastAsia"/>
        </w:rPr>
        <w:t xml:space="preserve">P </w:t>
      </w:r>
      <w:r>
        <w:rPr>
          <w:rFonts w:hint="eastAsia"/>
        </w:rPr>
        <w:t>＜</w:t>
      </w:r>
      <w:r>
        <w:rPr>
          <w:rFonts w:hint="eastAsia"/>
        </w:rPr>
        <w:t xml:space="preserve"> 0.05</w:t>
      </w:r>
      <w:r>
        <w:rPr>
          <w:rFonts w:hint="eastAsia"/>
        </w:rPr>
        <w:t>“，其余标记为”</w:t>
      </w:r>
      <w:r>
        <w:rPr>
          <w:rFonts w:hint="eastAsia"/>
        </w:rPr>
        <w:t>&gt;0.5</w:t>
      </w:r>
      <w:r>
        <w:rPr>
          <w:rFonts w:hint="eastAsia"/>
        </w:rPr>
        <w:t>“</w:t>
      </w:r>
    </w:p>
    <w:p w14:paraId="234D8890" w14:textId="77777777" w:rsidR="0055221C" w:rsidRDefault="0055221C" w:rsidP="0055221C">
      <w:pPr>
        <w:pStyle w:val="a0"/>
        <w:ind w:firstLineChars="200" w:firstLine="420"/>
      </w:pPr>
      <w:r>
        <w:t>ggplot(data=otu.p.all, aes(x=effect, y=-log10(wi.eBH), color=sig.otu)) + geom_point(size=2, alpha=0.5) +</w:t>
      </w:r>
    </w:p>
    <w:p w14:paraId="707CC6DD" w14:textId="77777777" w:rsidR="0055221C" w:rsidRDefault="0055221C" w:rsidP="0055221C">
      <w:pPr>
        <w:pStyle w:val="a0"/>
        <w:ind w:firstLineChars="200" w:firstLine="420"/>
      </w:pPr>
      <w:r>
        <w:t xml:space="preserve">  scale_x_continuous(name='Effect size', limits=c(-0.9, 0.9)) +</w:t>
      </w:r>
    </w:p>
    <w:p w14:paraId="7DE60238" w14:textId="77777777" w:rsidR="0055221C" w:rsidRDefault="0055221C" w:rsidP="0055221C">
      <w:pPr>
        <w:pStyle w:val="a0"/>
        <w:ind w:firstLineChars="200" w:firstLine="420"/>
      </w:pPr>
      <w:r>
        <w:t xml:space="preserve">  scale_y_continuous(name='Corrected P values (-log10)', limits=c(0,4.8), breaks=c(seq(0,4.8,1))) +</w:t>
      </w:r>
    </w:p>
    <w:p w14:paraId="7BF01AF2" w14:textId="77777777" w:rsidR="0055221C" w:rsidRDefault="0055221C" w:rsidP="0055221C">
      <w:pPr>
        <w:pStyle w:val="a0"/>
        <w:ind w:firstLineChars="200" w:firstLine="420"/>
      </w:pPr>
      <w:r>
        <w:t xml:space="preserve">  geom_vline(xintercept=c(-0.5, 0.5), linetype=2, size=1, color='grey') +</w:t>
      </w:r>
    </w:p>
    <w:p w14:paraId="4546B8D0" w14:textId="77777777" w:rsidR="0055221C" w:rsidRDefault="0055221C" w:rsidP="0055221C">
      <w:pPr>
        <w:pStyle w:val="a0"/>
        <w:ind w:firstLineChars="200" w:firstLine="420"/>
      </w:pPr>
      <w:r>
        <w:t xml:space="preserve">  scale_color_manual(name="", values=c('red', 'black')) +</w:t>
      </w:r>
    </w:p>
    <w:p w14:paraId="452CE9FD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theme(plot.margin=unit(c(3,10,5,5), "mm"),                   #</w:t>
      </w:r>
      <w:r>
        <w:rPr>
          <w:rFonts w:hint="eastAsia"/>
        </w:rPr>
        <w:t>上、右、下、左</w:t>
      </w:r>
    </w:p>
    <w:p w14:paraId="6719745C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panel.background=element_rect(fill="white"),           #</w:t>
      </w:r>
      <w:r>
        <w:rPr>
          <w:rFonts w:hint="eastAsia"/>
        </w:rPr>
        <w:t>背景</w:t>
      </w:r>
    </w:p>
    <w:p w14:paraId="5691EB60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lastRenderedPageBreak/>
        <w:t xml:space="preserve">        axis.line=element_line(color='black'),                 #</w:t>
      </w:r>
      <w:r>
        <w:rPr>
          <w:rFonts w:hint="eastAsia"/>
        </w:rPr>
        <w:t>坐标轴</w:t>
      </w:r>
    </w:p>
    <w:p w14:paraId="36FFA8AD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legend.position=c(0.95, 0.92),                         #</w:t>
      </w:r>
      <w:r>
        <w:rPr>
          <w:rFonts w:hint="eastAsia"/>
        </w:rPr>
        <w:t>图例位置</w:t>
      </w:r>
    </w:p>
    <w:p w14:paraId="08F6D6C8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legend.title=element_text(color='black', size=13),     #</w:t>
      </w:r>
      <w:r>
        <w:rPr>
          <w:rFonts w:hint="eastAsia"/>
        </w:rPr>
        <w:t>图例名称文字大小</w:t>
      </w:r>
    </w:p>
    <w:p w14:paraId="009A79A5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legend.text=element_text(color='black', size=13),      #</w:t>
      </w:r>
      <w:r>
        <w:rPr>
          <w:rFonts w:hint="eastAsia"/>
        </w:rPr>
        <w:t>图标文字大小</w:t>
      </w:r>
    </w:p>
    <w:p w14:paraId="41397141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axis.ticks=element_line(color='black', size=1),        #</w:t>
      </w:r>
      <w:r>
        <w:rPr>
          <w:rFonts w:hint="eastAsia"/>
        </w:rPr>
        <w:t>坐标轴刻度大小</w:t>
      </w:r>
    </w:p>
    <w:p w14:paraId="53BA9AF0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axis.text=element_text(color='black', size=11),        #</w:t>
      </w:r>
      <w:r>
        <w:rPr>
          <w:rFonts w:hint="eastAsia"/>
        </w:rPr>
        <w:t>坐标轴刻度文字大小</w:t>
      </w:r>
    </w:p>
    <w:p w14:paraId="38D6C3B4" w14:textId="77777777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axis.title.x=element_text(size=15, vjust=-1),          #X</w:t>
      </w:r>
      <w:r>
        <w:rPr>
          <w:rFonts w:hint="eastAsia"/>
        </w:rPr>
        <w:t>轴标签</w:t>
      </w:r>
    </w:p>
    <w:p w14:paraId="35C8F265" w14:textId="221E940E" w:rsidR="0055221C" w:rsidRDefault="0055221C" w:rsidP="0055221C">
      <w:pPr>
        <w:pStyle w:val="a0"/>
        <w:ind w:firstLineChars="200" w:firstLine="420"/>
      </w:pPr>
      <w:r>
        <w:rPr>
          <w:rFonts w:hint="eastAsia"/>
        </w:rPr>
        <w:t xml:space="preserve">        axis.title.y=element_text(size=15, vjust=3))           #Y</w:t>
      </w:r>
      <w:r>
        <w:rPr>
          <w:rFonts w:hint="eastAsia"/>
        </w:rPr>
        <w:t>轴标签</w:t>
      </w:r>
    </w:p>
    <w:p w14:paraId="25B07137" w14:textId="1124410A" w:rsidR="00C03546" w:rsidRDefault="005240AA" w:rsidP="008F60F1">
      <w:pPr>
        <w:pStyle w:val="a0"/>
      </w:pPr>
      <w:r>
        <w:rPr>
          <w:rFonts w:hint="eastAsia"/>
          <w:noProof/>
        </w:rPr>
        <w:drawing>
          <wp:inline distT="0" distB="0" distL="0" distR="0" wp14:anchorId="36DFD31B" wp14:editId="346A2051">
            <wp:extent cx="5274310" cy="4938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2747" w14:textId="14C200A5" w:rsidR="00C31B23" w:rsidRPr="007F1D5E" w:rsidRDefault="0055221C">
      <w:pPr>
        <w:pStyle w:val="a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五</w:t>
      </w:r>
      <w:r w:rsidR="00C31B23" w:rsidRPr="007F1D5E">
        <w:rPr>
          <w:rFonts w:hint="eastAsia"/>
          <w:b/>
          <w:bCs/>
        </w:rPr>
        <w:t>、图片解读</w:t>
      </w:r>
    </w:p>
    <w:p w14:paraId="7CF41010" w14:textId="4E04F57E" w:rsidR="00C03546" w:rsidRDefault="00C31B23" w:rsidP="005C607E">
      <w:pPr>
        <w:pStyle w:val="a0"/>
        <w:ind w:firstLineChars="200" w:firstLine="420"/>
      </w:pPr>
      <w:r>
        <w:rPr>
          <w:rFonts w:hint="eastAsia"/>
        </w:rPr>
        <w:t>图片</w:t>
      </w:r>
      <w:r w:rsidR="006724C8">
        <w:rPr>
          <w:rFonts w:hint="eastAsia"/>
        </w:rPr>
        <w:t>X</w:t>
      </w:r>
      <w:r w:rsidR="006724C8">
        <w:rPr>
          <w:rFonts w:hint="eastAsia"/>
        </w:rPr>
        <w:t>轴代表效应值，小于</w:t>
      </w:r>
      <w:r w:rsidR="006724C8">
        <w:rPr>
          <w:rFonts w:hint="eastAsia"/>
        </w:rPr>
        <w:t>0</w:t>
      </w:r>
      <w:r w:rsidR="006724C8">
        <w:t>.5</w:t>
      </w:r>
      <w:r w:rsidR="005240AA">
        <w:rPr>
          <w:rFonts w:hint="eastAsia"/>
        </w:rPr>
        <w:t>点是</w:t>
      </w:r>
      <w:r w:rsidR="00460E26">
        <w:rPr>
          <w:rFonts w:hint="eastAsia"/>
        </w:rPr>
        <w:t>在两组间有差异的物种，可以认为是</w:t>
      </w:r>
      <w:r w:rsidR="005240AA">
        <w:rPr>
          <w:rFonts w:hint="eastAsia"/>
        </w:rPr>
        <w:t>生物标记</w:t>
      </w:r>
      <w:r w:rsidR="00460E26">
        <w:rPr>
          <w:rFonts w:hint="eastAsia"/>
        </w:rPr>
        <w:t>。</w:t>
      </w:r>
      <w:r w:rsidR="00460E26">
        <w:rPr>
          <w:rFonts w:hint="eastAsia"/>
        </w:rPr>
        <w:t>Y</w:t>
      </w:r>
      <w:r w:rsidR="00460E26">
        <w:rPr>
          <w:rFonts w:hint="eastAsia"/>
        </w:rPr>
        <w:t>轴是经过</w:t>
      </w:r>
      <w:r w:rsidR="005C607E" w:rsidRPr="005C607E">
        <w:t>Benjamini-Hochberg</w:t>
      </w:r>
      <w:r w:rsidR="005C607E">
        <w:rPr>
          <w:rFonts w:hint="eastAsia"/>
        </w:rPr>
        <w:t>法校正后的</w:t>
      </w:r>
      <w:r w:rsidR="005C607E">
        <w:rPr>
          <w:rFonts w:hint="eastAsia"/>
        </w:rPr>
        <w:t>P</w:t>
      </w:r>
      <w:r w:rsidR="005C607E">
        <w:rPr>
          <w:rFonts w:hint="eastAsia"/>
        </w:rPr>
        <w:t>值，红色的点就是校正</w:t>
      </w:r>
      <w:r w:rsidR="005C607E">
        <w:rPr>
          <w:rFonts w:hint="eastAsia"/>
        </w:rPr>
        <w:t>P</w:t>
      </w:r>
      <w:r w:rsidR="005C607E">
        <w:rPr>
          <w:rFonts w:hint="eastAsia"/>
        </w:rPr>
        <w:t>值＜</w:t>
      </w:r>
      <w:r w:rsidR="005C607E">
        <w:rPr>
          <w:rFonts w:hint="eastAsia"/>
        </w:rPr>
        <w:t>0</w:t>
      </w:r>
      <w:r w:rsidR="005C607E">
        <w:t>.05</w:t>
      </w:r>
      <w:r w:rsidR="005C607E">
        <w:rPr>
          <w:rFonts w:hint="eastAsia"/>
        </w:rPr>
        <w:t>的</w:t>
      </w:r>
      <w:r w:rsidR="00236296">
        <w:rPr>
          <w:rFonts w:hint="eastAsia"/>
        </w:rPr>
        <w:t>物种</w:t>
      </w:r>
      <w:r w:rsidR="005C607E">
        <w:rPr>
          <w:rFonts w:hint="eastAsia"/>
        </w:rPr>
        <w:t>。你可以发现，</w:t>
      </w:r>
      <w:r w:rsidR="004D3FE6">
        <w:rPr>
          <w:rFonts w:hint="eastAsia"/>
        </w:rPr>
        <w:t>红色的点有部分在</w:t>
      </w:r>
      <w:r w:rsidR="004D3FE6">
        <w:rPr>
          <w:rFonts w:hint="eastAsia"/>
        </w:rPr>
        <w:t>-0</w:t>
      </w:r>
      <w:r w:rsidR="004D3FE6">
        <w:t>.5</w:t>
      </w:r>
      <w:r w:rsidR="004D3FE6">
        <w:rPr>
          <w:rFonts w:hint="eastAsia"/>
        </w:rPr>
        <w:t>或</w:t>
      </w:r>
      <w:r w:rsidR="004D3FE6">
        <w:rPr>
          <w:rFonts w:hint="eastAsia"/>
        </w:rPr>
        <w:t>0</w:t>
      </w:r>
      <w:r w:rsidR="004D3FE6">
        <w:t>.5</w:t>
      </w:r>
      <w:r w:rsidR="004D3FE6">
        <w:rPr>
          <w:rFonts w:hint="eastAsia"/>
        </w:rPr>
        <w:t>效应界值虚线里面，</w:t>
      </w:r>
      <w:r w:rsidR="00CA5166">
        <w:rPr>
          <w:rFonts w:hint="eastAsia"/>
        </w:rPr>
        <w:t>这种情况下应该优先按照效应值来判断某</w:t>
      </w:r>
      <w:r w:rsidR="006B20E6">
        <w:rPr>
          <w:rFonts w:hint="eastAsia"/>
        </w:rPr>
        <w:t>物种是否为生物标记，</w:t>
      </w:r>
      <w:r w:rsidR="00236296">
        <w:rPr>
          <w:rFonts w:hint="eastAsia"/>
        </w:rPr>
        <w:t>因为</w:t>
      </w:r>
      <w:r w:rsidR="006B20E6">
        <w:rPr>
          <w:rFonts w:hint="eastAsia"/>
        </w:rPr>
        <w:t>效应值的可靠性优于</w:t>
      </w:r>
      <w:r w:rsidR="006B20E6">
        <w:rPr>
          <w:rFonts w:hint="eastAsia"/>
        </w:rPr>
        <w:t>P</w:t>
      </w:r>
      <w:r w:rsidR="006B20E6">
        <w:rPr>
          <w:rFonts w:hint="eastAsia"/>
        </w:rPr>
        <w:t>值</w:t>
      </w:r>
      <w:r w:rsidR="006B20E6" w:rsidRPr="006B20E6">
        <w:rPr>
          <w:rFonts w:hint="eastAsia"/>
          <w:vertAlign w:val="superscript"/>
        </w:rPr>
        <w:t>[</w:t>
      </w:r>
      <w:r w:rsidR="006B20E6" w:rsidRPr="006B20E6">
        <w:rPr>
          <w:vertAlign w:val="superscript"/>
        </w:rPr>
        <w:t>4]</w:t>
      </w:r>
      <w:r w:rsidR="006B20E6">
        <w:rPr>
          <w:rFonts w:hint="eastAsia"/>
        </w:rPr>
        <w:t>。</w:t>
      </w:r>
    </w:p>
    <w:p w14:paraId="6C92A98B" w14:textId="6B11C73E" w:rsidR="008F60F1" w:rsidRPr="007F1D5E" w:rsidRDefault="0055221C">
      <w:pPr>
        <w:pStyle w:val="a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六</w:t>
      </w:r>
      <w:r w:rsidR="007F1D5E" w:rsidRPr="007F1D5E">
        <w:rPr>
          <w:rFonts w:hint="eastAsia"/>
          <w:b/>
          <w:bCs/>
        </w:rPr>
        <w:t>、注意事项</w:t>
      </w:r>
      <w:r>
        <w:rPr>
          <w:rFonts w:hint="eastAsia"/>
          <w:b/>
          <w:bCs/>
        </w:rPr>
        <w:t>和展望</w:t>
      </w:r>
    </w:p>
    <w:p w14:paraId="37C8B448" w14:textId="74833650" w:rsidR="00DF18C2" w:rsidRDefault="00DF18C2" w:rsidP="00DF18C2">
      <w:pPr>
        <w:pStyle w:val="a0"/>
        <w:ind w:firstLineChars="200" w:firstLine="420"/>
      </w:pPr>
      <w:r>
        <w:t>ALDEx2</w:t>
      </w:r>
      <w:r>
        <w:t>这种物种差异分析方法最大的优势是其假阳性率比较低</w:t>
      </w:r>
      <w:r>
        <w:rPr>
          <w:rFonts w:hint="eastAsia"/>
        </w:rPr>
        <w:t>，</w:t>
      </w:r>
      <w:r>
        <w:t>低于</w:t>
      </w:r>
      <w:r>
        <w:t>EdgeR</w:t>
      </w:r>
      <w:r>
        <w:t>和</w:t>
      </w:r>
      <w:r>
        <w:t>DESeq2</w:t>
      </w:r>
      <w:r w:rsidR="001E3329" w:rsidRPr="001E3329">
        <w:rPr>
          <w:vertAlign w:val="superscript"/>
        </w:rPr>
        <w:t>[</w:t>
      </w:r>
      <w:r w:rsidR="00345862">
        <w:rPr>
          <w:vertAlign w:val="superscript"/>
        </w:rPr>
        <w:t>2,5</w:t>
      </w:r>
      <w:r w:rsidR="001E3329" w:rsidRPr="001E3329">
        <w:rPr>
          <w:vertAlign w:val="superscript"/>
        </w:rPr>
        <w:t>]</w:t>
      </w:r>
      <w:r>
        <w:rPr>
          <w:rFonts w:hint="eastAsia"/>
        </w:rPr>
        <w:t>。</w:t>
      </w:r>
    </w:p>
    <w:p w14:paraId="523F39ED" w14:textId="076E27D7" w:rsidR="00C31B23" w:rsidRDefault="007F1D5E">
      <w:pPr>
        <w:pStyle w:val="a0"/>
        <w:ind w:firstLineChars="200" w:firstLine="420"/>
      </w:pPr>
      <w:r>
        <w:rPr>
          <w:rFonts w:hint="eastAsia"/>
        </w:rPr>
        <w:t>ALDEx2</w:t>
      </w:r>
      <w:r>
        <w:rPr>
          <w:rFonts w:hint="eastAsia"/>
        </w:rPr>
        <w:t>的统计结果</w:t>
      </w:r>
      <w:r w:rsidR="00E47377">
        <w:rPr>
          <w:rFonts w:hint="eastAsia"/>
        </w:rPr>
        <w:t>与</w:t>
      </w:r>
      <w:r>
        <w:rPr>
          <w:rFonts w:hint="eastAsia"/>
        </w:rPr>
        <w:t>Qiime 2</w:t>
      </w:r>
      <w:r>
        <w:rPr>
          <w:rFonts w:hint="eastAsia"/>
        </w:rPr>
        <w:t>教程中的</w:t>
      </w:r>
      <w:r>
        <w:rPr>
          <w:rFonts w:hint="eastAsia"/>
        </w:rPr>
        <w:t>A</w:t>
      </w:r>
      <w:r>
        <w:t>NCOM</w:t>
      </w:r>
      <w:r>
        <w:rPr>
          <w:rFonts w:hint="eastAsia"/>
        </w:rPr>
        <w:t>比较类似，统计结果</w:t>
      </w:r>
      <w:r w:rsidR="00345862">
        <w:rPr>
          <w:rFonts w:hint="eastAsia"/>
        </w:rPr>
        <w:t>很多</w:t>
      </w:r>
      <w:r>
        <w:rPr>
          <w:rFonts w:hint="eastAsia"/>
        </w:rPr>
        <w:t>情况下也</w:t>
      </w:r>
      <w:r w:rsidR="00E47377">
        <w:rPr>
          <w:rFonts w:hint="eastAsia"/>
        </w:rPr>
        <w:t>一致</w:t>
      </w:r>
      <w:r>
        <w:rPr>
          <w:rFonts w:hint="eastAsia"/>
        </w:rPr>
        <w:t>。</w:t>
      </w:r>
      <w:r w:rsidR="00993485">
        <w:rPr>
          <w:rFonts w:hint="eastAsia"/>
        </w:rPr>
        <w:t>但是</w:t>
      </w:r>
      <w:r w:rsidR="00993485">
        <w:rPr>
          <w:rFonts w:hint="eastAsia"/>
        </w:rPr>
        <w:t>ALDEx2</w:t>
      </w:r>
      <w:r w:rsidR="00E47377">
        <w:rPr>
          <w:rFonts w:hint="eastAsia"/>
        </w:rPr>
        <w:t>和</w:t>
      </w:r>
      <w:r w:rsidR="00E47377">
        <w:rPr>
          <w:rFonts w:hint="eastAsia"/>
        </w:rPr>
        <w:t>A</w:t>
      </w:r>
      <w:r w:rsidR="00E47377">
        <w:t>NCOM</w:t>
      </w:r>
      <w:r w:rsidR="00993485">
        <w:rPr>
          <w:rFonts w:hint="eastAsia"/>
        </w:rPr>
        <w:t>的方法强行地将</w:t>
      </w:r>
      <w:r w:rsidR="00993485">
        <w:rPr>
          <w:rFonts w:hint="eastAsia"/>
        </w:rPr>
        <w:t>0</w:t>
      </w:r>
      <w:r w:rsidR="00993485">
        <w:rPr>
          <w:rFonts w:hint="eastAsia"/>
        </w:rPr>
        <w:t>值替换为其他数值，也会导致一定的偏倚，而且</w:t>
      </w:r>
      <w:r w:rsidR="00E47377">
        <w:rPr>
          <w:rFonts w:hint="eastAsia"/>
        </w:rPr>
        <w:t>它们</w:t>
      </w:r>
      <w:r w:rsidR="00993485">
        <w:rPr>
          <w:rFonts w:hint="eastAsia"/>
        </w:rPr>
        <w:t>无法解决</w:t>
      </w:r>
      <w:r w:rsidR="00993485">
        <w:rPr>
          <w:rFonts w:hint="eastAsia"/>
        </w:rPr>
        <w:t>0</w:t>
      </w:r>
      <w:r w:rsidR="00993485">
        <w:rPr>
          <w:rFonts w:hint="eastAsia"/>
        </w:rPr>
        <w:t>值膨胀的问题。</w:t>
      </w:r>
    </w:p>
    <w:p w14:paraId="750687CA" w14:textId="0F9304C7" w:rsidR="00C31B23" w:rsidRDefault="003F07B3">
      <w:pPr>
        <w:pStyle w:val="a0"/>
        <w:ind w:firstLineChars="200" w:firstLine="420"/>
      </w:pPr>
      <w:r>
        <w:rPr>
          <w:rFonts w:hint="eastAsia"/>
        </w:rPr>
        <w:lastRenderedPageBreak/>
        <w:t>Rob Knight</w:t>
      </w:r>
      <w:r>
        <w:rPr>
          <w:rFonts w:hint="eastAsia"/>
        </w:rPr>
        <w:t>团队最近在研究差异分析的其他方法，比如</w:t>
      </w:r>
      <w:r w:rsidR="009E582F">
        <w:rPr>
          <w:rFonts w:hint="eastAsia"/>
        </w:rPr>
        <w:t>用</w:t>
      </w:r>
      <w:r w:rsidR="009E582F" w:rsidRPr="009E582F">
        <w:rPr>
          <w:rFonts w:hint="eastAsia"/>
        </w:rPr>
        <w:t>songbird</w:t>
      </w:r>
      <w:r w:rsidR="009E582F">
        <w:rPr>
          <w:rFonts w:hint="eastAsia"/>
        </w:rPr>
        <w:t>软件，借助</w:t>
      </w:r>
      <w:r w:rsidR="007C31E9">
        <w:rPr>
          <w:rFonts w:hint="eastAsia"/>
        </w:rPr>
        <w:t>谷歌大脑的</w:t>
      </w:r>
      <w:r w:rsidR="007C31E9" w:rsidRPr="007C31E9">
        <w:t>Tensorflow</w:t>
      </w:r>
      <w:r w:rsidR="007C31E9">
        <w:rPr>
          <w:rFonts w:hint="eastAsia"/>
        </w:rPr>
        <w:t>人工智能方法筛选差异物种，但是目前仍在探索阶段，尚无法用于实战</w:t>
      </w:r>
      <w:r w:rsidR="00F00BDF" w:rsidRPr="00F00BDF">
        <w:rPr>
          <w:rFonts w:hint="eastAsia"/>
          <w:vertAlign w:val="superscript"/>
        </w:rPr>
        <w:t>[</w:t>
      </w:r>
      <w:r w:rsidR="001E3329">
        <w:rPr>
          <w:vertAlign w:val="superscript"/>
        </w:rPr>
        <w:t>6</w:t>
      </w:r>
      <w:r w:rsidR="00F00BDF" w:rsidRPr="00F00BDF">
        <w:rPr>
          <w:vertAlign w:val="superscript"/>
        </w:rPr>
        <w:t>]</w:t>
      </w:r>
      <w:r w:rsidR="007C31E9">
        <w:rPr>
          <w:rFonts w:hint="eastAsia"/>
        </w:rPr>
        <w:t>。</w:t>
      </w:r>
    </w:p>
    <w:p w14:paraId="54236DF5" w14:textId="05105B06" w:rsidR="00C31B23" w:rsidRDefault="00C31B23">
      <w:pPr>
        <w:pStyle w:val="a0"/>
        <w:ind w:firstLineChars="200" w:firstLine="420"/>
      </w:pPr>
    </w:p>
    <w:p w14:paraId="5F80B3F8" w14:textId="6785132C" w:rsidR="007C31E9" w:rsidRDefault="007C31E9">
      <w:pPr>
        <w:pStyle w:val="a0"/>
        <w:ind w:firstLineChars="200" w:firstLine="420"/>
      </w:pPr>
    </w:p>
    <w:p w14:paraId="773D7644" w14:textId="77777777" w:rsidR="007C31E9" w:rsidRDefault="007C31E9">
      <w:pPr>
        <w:pStyle w:val="a0"/>
        <w:ind w:firstLineChars="200" w:firstLine="420"/>
      </w:pPr>
    </w:p>
    <w:p w14:paraId="3A192F6C" w14:textId="77777777" w:rsidR="00C03546" w:rsidRDefault="0055221C">
      <w:pPr>
        <w:pStyle w:val="a0"/>
      </w:pPr>
      <w:r>
        <w:rPr>
          <w:rFonts w:hint="eastAsia"/>
        </w:rPr>
        <w:t>参考文献</w:t>
      </w:r>
    </w:p>
    <w:p w14:paraId="733D1494" w14:textId="41CFA26D" w:rsidR="00C03546" w:rsidRDefault="00BE0F21" w:rsidP="00D21F07">
      <w:pPr>
        <w:pStyle w:val="a4"/>
        <w:numPr>
          <w:ilvl w:val="0"/>
          <w:numId w:val="1"/>
        </w:numPr>
        <w:ind w:firstLineChars="0"/>
      </w:pPr>
      <w:r w:rsidRPr="00BE0F21">
        <w:t>Patricio S La Rosa, J Paul Brooks, Elena Deych</w:t>
      </w:r>
      <w:r w:rsidR="00D21F07">
        <w:t xml:space="preserve">, et al. </w:t>
      </w:r>
      <w:r w:rsidR="0055221C" w:rsidRPr="00345862">
        <w:rPr>
          <w:i/>
        </w:rPr>
        <w:t>Hypothesis Testing and Power Calculations for Taxonomic-Based Human Microbiome Data</w:t>
      </w:r>
      <w:r w:rsidR="00D21F07">
        <w:t xml:space="preserve">. PLoS One, 7 (12), e52078. </w:t>
      </w:r>
      <w:r w:rsidR="00D21F07" w:rsidRPr="00D21F07">
        <w:t>DOI: 10.1371/journal.pone.0052078</w:t>
      </w:r>
    </w:p>
    <w:p w14:paraId="094B6383" w14:textId="32897B39" w:rsidR="00C03546" w:rsidRDefault="00D31CD5" w:rsidP="00BE0F21">
      <w:pPr>
        <w:pStyle w:val="a4"/>
        <w:numPr>
          <w:ilvl w:val="0"/>
          <w:numId w:val="1"/>
        </w:numPr>
        <w:ind w:firstLineChars="0"/>
      </w:pPr>
      <w:r w:rsidRPr="00D31CD5">
        <w:t xml:space="preserve">Sophie Weiss, Zhenjiang Zech Xu, Shyamal Peddada, ..., Rob Knight. </w:t>
      </w:r>
      <w:r w:rsidR="0055221C" w:rsidRPr="00345862">
        <w:rPr>
          <w:i/>
        </w:rPr>
        <w:t>Normalization and microbial differential abundance strategies depend upon data characteristics</w:t>
      </w:r>
      <w:r w:rsidR="00BE0F21">
        <w:t xml:space="preserve">. Microbiome, 5 (1), 27. </w:t>
      </w:r>
      <w:r w:rsidR="00BE0F21" w:rsidRPr="00BE0F21">
        <w:t>DOI: 10.1186/s40168-017-0237-y</w:t>
      </w:r>
    </w:p>
    <w:p w14:paraId="2C3541E0" w14:textId="20574865" w:rsidR="00C03546" w:rsidRDefault="00D31CD5" w:rsidP="00D31CD5">
      <w:pPr>
        <w:pStyle w:val="a4"/>
        <w:numPr>
          <w:ilvl w:val="0"/>
          <w:numId w:val="1"/>
        </w:numPr>
        <w:ind w:firstLineChars="0"/>
      </w:pPr>
      <w:r w:rsidRPr="00D31CD5">
        <w:t>Gregory B Gloor, Gregor Reid</w:t>
      </w:r>
      <w:r>
        <w:t>.</w:t>
      </w:r>
      <w:r w:rsidRPr="00D31CD5">
        <w:t xml:space="preserve"> </w:t>
      </w:r>
      <w:r w:rsidR="0055221C" w:rsidRPr="00345862">
        <w:rPr>
          <w:i/>
        </w:rPr>
        <w:t>Compositional analysis: a valid approach to analyze microbiome high-throughput sequencing data</w:t>
      </w:r>
      <w:r>
        <w:t xml:space="preserve">. Can J Microbiol, 62 (8), 692-703. </w:t>
      </w:r>
      <w:r w:rsidRPr="00D31CD5">
        <w:t>DOI: 10.1139/cjm-2015-0821</w:t>
      </w:r>
    </w:p>
    <w:p w14:paraId="6A9586A2" w14:textId="179BCB68" w:rsidR="00C47234" w:rsidRDefault="00C47234">
      <w:pPr>
        <w:pStyle w:val="a4"/>
        <w:numPr>
          <w:ilvl w:val="0"/>
          <w:numId w:val="1"/>
        </w:numPr>
        <w:ind w:firstLineChars="0"/>
      </w:pPr>
      <w:r w:rsidRPr="00C47234">
        <w:t xml:space="preserve">Xia Y, Sun J, Chen D. </w:t>
      </w:r>
      <w:r w:rsidRPr="00345862">
        <w:rPr>
          <w:i/>
        </w:rPr>
        <w:t>Community diversity measures and calculations</w:t>
      </w:r>
      <w:r w:rsidRPr="00C47234">
        <w:t xml:space="preserve">. In: Xia Y, Sun J, Chen D, eds. </w:t>
      </w:r>
      <w:r w:rsidRPr="00345862">
        <w:rPr>
          <w:i/>
        </w:rPr>
        <w:t>Statistical Analysis of Microbiome Data with R</w:t>
      </w:r>
      <w:r w:rsidRPr="00C47234">
        <w:t>. Singapore: Springer Singapore; 2018: 167-190.</w:t>
      </w:r>
    </w:p>
    <w:p w14:paraId="7BB3E72A" w14:textId="422DF808" w:rsidR="00345862" w:rsidRDefault="00345862" w:rsidP="00345862">
      <w:pPr>
        <w:pStyle w:val="a4"/>
        <w:numPr>
          <w:ilvl w:val="0"/>
          <w:numId w:val="1"/>
        </w:numPr>
        <w:ind w:firstLineChars="0"/>
      </w:pPr>
      <w:r w:rsidRPr="00345862">
        <w:t>Thomas P Quinn, Tamsyn M Crowley, Mark F Richardson. Benchmarking differential expression analysis tools for RNA-Seq: normalization-based vs. log-ratio transformation-based methods. BMC Bioinformatics, 19 (1), 274. DOI: 10.1186/s12859-018-2261-8</w:t>
      </w:r>
    </w:p>
    <w:p w14:paraId="4ED71212" w14:textId="68FE8D27" w:rsidR="00F00BDF" w:rsidRDefault="00F00BDF" w:rsidP="00EE61E9">
      <w:pPr>
        <w:pStyle w:val="a4"/>
        <w:numPr>
          <w:ilvl w:val="0"/>
          <w:numId w:val="1"/>
        </w:numPr>
        <w:ind w:firstLineChars="0"/>
      </w:pPr>
      <w:r w:rsidRPr="00F00BDF">
        <w:t xml:space="preserve">James T Morton, Clarisse Marotz, Alex Washburne, </w:t>
      </w:r>
      <w:r w:rsidR="00EE61E9">
        <w:t>...</w:t>
      </w:r>
      <w:r w:rsidRPr="00F00BDF">
        <w:t>, Rob Knight</w:t>
      </w:r>
      <w:r w:rsidR="00EE61E9">
        <w:t xml:space="preserve">. </w:t>
      </w:r>
      <w:r w:rsidR="00EE61E9" w:rsidRPr="00345862">
        <w:rPr>
          <w:i/>
        </w:rPr>
        <w:t>Establishing Microbial Composition Measurement Standards With Reference Frames</w:t>
      </w:r>
      <w:r w:rsidR="00EE61E9">
        <w:t xml:space="preserve">. Nat Commun, 10 (1), 2719. </w:t>
      </w:r>
      <w:r w:rsidR="00EE61E9" w:rsidRPr="00EE61E9">
        <w:t>DOI: 10.1038/s41467-019-10656-5</w:t>
      </w:r>
    </w:p>
    <w:sectPr w:rsidR="00F00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524F8"/>
    <w:multiLevelType w:val="multilevel"/>
    <w:tmpl w:val="678524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21"/>
  <w:drawingGridVerticalSpacing w:val="3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188"/>
    <w:rsid w:val="00040D8E"/>
    <w:rsid w:val="000431F6"/>
    <w:rsid w:val="00066461"/>
    <w:rsid w:val="0007123D"/>
    <w:rsid w:val="00095859"/>
    <w:rsid w:val="000B1FA2"/>
    <w:rsid w:val="00113A44"/>
    <w:rsid w:val="00123DA5"/>
    <w:rsid w:val="0013505E"/>
    <w:rsid w:val="00195E04"/>
    <w:rsid w:val="001A3FBF"/>
    <w:rsid w:val="001C548C"/>
    <w:rsid w:val="001E3329"/>
    <w:rsid w:val="002013F2"/>
    <w:rsid w:val="002233A3"/>
    <w:rsid w:val="002330E6"/>
    <w:rsid w:val="00236296"/>
    <w:rsid w:val="00267CB6"/>
    <w:rsid w:val="0027051E"/>
    <w:rsid w:val="00293C40"/>
    <w:rsid w:val="002D43D0"/>
    <w:rsid w:val="00344892"/>
    <w:rsid w:val="00345862"/>
    <w:rsid w:val="003A727C"/>
    <w:rsid w:val="003B3512"/>
    <w:rsid w:val="003E329C"/>
    <w:rsid w:val="003F07B3"/>
    <w:rsid w:val="00423E39"/>
    <w:rsid w:val="00460E26"/>
    <w:rsid w:val="004704FB"/>
    <w:rsid w:val="00470ACB"/>
    <w:rsid w:val="004A45BB"/>
    <w:rsid w:val="004A5E4F"/>
    <w:rsid w:val="004A6029"/>
    <w:rsid w:val="004D3FE6"/>
    <w:rsid w:val="004E352F"/>
    <w:rsid w:val="00504BA8"/>
    <w:rsid w:val="00523A5B"/>
    <w:rsid w:val="005240AA"/>
    <w:rsid w:val="0055221C"/>
    <w:rsid w:val="005A6802"/>
    <w:rsid w:val="005C600A"/>
    <w:rsid w:val="005C607E"/>
    <w:rsid w:val="005D49EA"/>
    <w:rsid w:val="00635D7A"/>
    <w:rsid w:val="00652357"/>
    <w:rsid w:val="006724C8"/>
    <w:rsid w:val="006A3C1A"/>
    <w:rsid w:val="006B20E6"/>
    <w:rsid w:val="007308DF"/>
    <w:rsid w:val="007C305E"/>
    <w:rsid w:val="007C31E9"/>
    <w:rsid w:val="007E1F8C"/>
    <w:rsid w:val="007E48C2"/>
    <w:rsid w:val="007F1D5E"/>
    <w:rsid w:val="007F583B"/>
    <w:rsid w:val="00822215"/>
    <w:rsid w:val="008656EB"/>
    <w:rsid w:val="008C635A"/>
    <w:rsid w:val="008F0F51"/>
    <w:rsid w:val="008F60F1"/>
    <w:rsid w:val="009431AC"/>
    <w:rsid w:val="009531D7"/>
    <w:rsid w:val="009777EA"/>
    <w:rsid w:val="00983249"/>
    <w:rsid w:val="00993485"/>
    <w:rsid w:val="00994755"/>
    <w:rsid w:val="009B7107"/>
    <w:rsid w:val="009D5384"/>
    <w:rsid w:val="009E3759"/>
    <w:rsid w:val="009E582F"/>
    <w:rsid w:val="00A02131"/>
    <w:rsid w:val="00A66359"/>
    <w:rsid w:val="00A9474B"/>
    <w:rsid w:val="00AC6942"/>
    <w:rsid w:val="00AF6920"/>
    <w:rsid w:val="00B136F8"/>
    <w:rsid w:val="00B43CED"/>
    <w:rsid w:val="00B85A09"/>
    <w:rsid w:val="00B87998"/>
    <w:rsid w:val="00BE0F21"/>
    <w:rsid w:val="00C00BAF"/>
    <w:rsid w:val="00C03546"/>
    <w:rsid w:val="00C06889"/>
    <w:rsid w:val="00C14A6A"/>
    <w:rsid w:val="00C31B23"/>
    <w:rsid w:val="00C47234"/>
    <w:rsid w:val="00C5076D"/>
    <w:rsid w:val="00C90DDC"/>
    <w:rsid w:val="00CA5166"/>
    <w:rsid w:val="00CA7BF3"/>
    <w:rsid w:val="00CF4B11"/>
    <w:rsid w:val="00D21F07"/>
    <w:rsid w:val="00D31CD5"/>
    <w:rsid w:val="00D37CA9"/>
    <w:rsid w:val="00D45F70"/>
    <w:rsid w:val="00D7677F"/>
    <w:rsid w:val="00D80188"/>
    <w:rsid w:val="00DF18C2"/>
    <w:rsid w:val="00E043E9"/>
    <w:rsid w:val="00E066D3"/>
    <w:rsid w:val="00E37F8A"/>
    <w:rsid w:val="00E47377"/>
    <w:rsid w:val="00E55025"/>
    <w:rsid w:val="00E7574B"/>
    <w:rsid w:val="00E82295"/>
    <w:rsid w:val="00EE61E9"/>
    <w:rsid w:val="00F00BDF"/>
    <w:rsid w:val="00F7165E"/>
    <w:rsid w:val="00F74508"/>
    <w:rsid w:val="00FD2AF0"/>
    <w:rsid w:val="351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D565"/>
  <w14:defaultImageDpi w14:val="32767"/>
  <w15:docId w15:val="{D6C4E38D-7912-40E4-8B7B-693C68CD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jc w:val="both"/>
    </w:pPr>
    <w:rPr>
      <w:kern w:val="2"/>
      <w:sz w:val="21"/>
      <w:szCs w:val="2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C607E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5C60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3BCB7F-E186-48BF-95EB-961814C0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Xubo Qian</dc:creator>
  <cp:lastModifiedBy>Liu Yong-Xin</cp:lastModifiedBy>
  <cp:revision>2</cp:revision>
  <dcterms:created xsi:type="dcterms:W3CDTF">2020-06-01T15:39:00Z</dcterms:created>
  <dcterms:modified xsi:type="dcterms:W3CDTF">2020-06-01T15:39:00Z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