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Google Summer of Code 2026 Engineering Notebook</w:t>
      </w:r>
    </w:p>
    <w:p>
      <w:pPr>
        <w:pStyle w:val="Heading2"/>
        <w:keepNext/>
      </w:pPr>
      <w:r>
        <w:t>Week 9</w:t>
      </w:r>
    </w:p>
    <w:p>
      <w:pPr>
        <w:pStyle w:val="Heading1"/>
        <w:keepNext/>
      </w:pPr>
      <w:r>
        <w:t>SOFIE Convolution Correctness, Test-Suite Hardening, and Self-Contained Inference Code Generation</w:t>
      </w:r>
    </w:p>
    <w:p>
      <w:r>
        <w:t>Contributor</w:t>
      </w:r>
    </w:p>
    <w:p>
      <w:r>
        <w:t>Yongyan Liu</w:t>
      </w:r>
    </w:p>
    <w:p>
      <w:r>
        <w:t>Google Summer of Code 2026</w:t>
      </w:r>
    </w:p>
    <w:p>
      <w:r>
        <w:t>ROOT Project — TMVA SOFIE</w:t>
      </w:r>
    </w:p>
    <w:p>
      <w:r>
        <w:t>Mentors:</w:t>
      </w:r>
    </w:p>
    <w:p>
      <w:r>
        <w:t>Lorenzo Moneta</w:t>
      </w:r>
    </w:p>
    <w:p>
      <w:r>
        <w:t>Sanjiban Sengupta</w:t>
      </w:r>
    </w:p>
    <w:p>
      <w:pPr>
        <w:pStyle w:val="Heading1"/>
        <w:keepNext/>
      </w:pPr>
      <w:r>
        <w:t>Executive Summary</w:t>
      </w:r>
    </w:p>
    <w:p>
      <w:r>
        <w:t>Week 9 continued the Google Summer of Code 2026 development work on ROOT TMVA SOFIE. The project remained active during this period; this notebook therefore treats the week as a normal development cycle rather than as a formally designated final cycle.</w:t>
      </w:r>
    </w:p>
    <w:p>
      <w:r>
        <w:t>The work concentrated on two closely related engineering goals: strengthening the correctness and regression coverage of convolution and pooling code paths, and improving the portability of generated SOFIE inference code by reducing its dependence on SOFIE_common.hxx.</w:t>
      </w:r>
    </w:p>
    <w:p>
      <w:r>
        <w:t>The first contribution fixed asymmetric padding behavior in the Im2col and Im2col_3d helpers used by convolution-related execution paths. The previous helper interfaces represented padding with one value per spatial axis; the updated implementation carries separate beginning and ending padding values, which is required for ONNX configurations in which the two sides of an axis differ. The same pull request also addressed ceil_mode-related Conv/Pool behavior and strengthened the associated SOFIE regression tests.</w:t>
      </w:r>
    </w:p>
    <w:p>
      <w:r>
        <w:t>The second contribution advanced self-contained inference generation. Helper functionality that had historically lived in SOFIE_common.hxx was reorganized so that generated models can embed the helper source code they actually require. A new helper-code description and generation interface was introduced, and helper dependencies are resolved centrally during model generation. This reduces the coupling between generated inference artifacts and SOFIE's internal common header.</w:t>
      </w:r>
    </w:p>
    <w:p>
      <w:r>
        <w:t>Validation was performed at several levels. The reported local evidence comprises 103 compile/pass checks and a separate targeted/local SOFIE suite of 154 tests; these are distinct validation scopes and are not combined into a single test count. Keras and PyTorch regression paths passed, and the ROOT GitHub continuous-integration run reported 3,875 tests passed. All four documented Week 9 pull requests were merged into ROOT master.</w:t>
      </w:r>
    </w:p>
    <w:p>
      <w:pPr>
        <w:pStyle w:val="Heading1"/>
        <w:keepNext/>
      </w:pPr>
      <w:r>
        <w:t>Contents</w:t>
      </w:r>
    </w:p>
    <w:p>
      <w:r>
        <w:t>1. Week 9 Objectives</w:t>
      </w:r>
    </w:p>
    <w:p>
      <w:r>
        <w:t>2. Contribution Boundary</w:t>
      </w:r>
    </w:p>
    <w:p>
      <w:r>
        <w:t>3. Technical Background</w:t>
      </w:r>
    </w:p>
    <w:p>
      <w:pPr>
        <w:pageBreakBefore/>
      </w:pPr>
      <w:r>
        <w:t>4. Conv/Pool Correctness</w:t>
      </w:r>
    </w:p>
    <w:p>
      <w:r>
        <w:t>5. Test-Suite Hardening</w:t>
      </w:r>
    </w:p>
    <w:p>
      <w:r>
        <w:t>6. Self-Contained Inference Code Generation</w:t>
      </w:r>
    </w:p>
    <w:p>
      <w:r>
        <w:t>7. Validation Summary</w:t>
      </w:r>
    </w:p>
    <w:p>
      <w:r>
        <w:t>8. Week 9 Engineering Lessons and Reflection</w:t>
      </w:r>
    </w:p>
    <w:p>
      <w:r>
        <w:t>Appendix A — Contribution Evidence Matrix</w:t>
      </w:r>
    </w:p>
    <w:p>
      <w:pPr>
        <w:pStyle w:val="Heading1"/>
        <w:keepNext/>
      </w:pPr>
      <w:r>
        <w:t>Appendix B — Quantitative Summary</w:t>
      </w:r>
    </w:p>
    <w:p>
      <w:pPr>
        <w:pStyle w:val="Heading2"/>
        <w:keepNext/>
      </w:pPr>
      <w:r/>
    </w:p>
    <w:p>
      <w:pPr>
        <w:pStyle w:val="Heading1"/>
        <w:keepNext/>
      </w:pPr>
      <w:r>
        <w:t>1. Week 9 Objectives</w:t>
      </w:r>
    </w:p>
    <w:p>
      <w:r>
        <w:t>Week 9 focused on correctness at framework boundaries: ONNX convolution/pooling semantics on one side, and the boundary between generated inference code and ROOT's internal SOFIE support code on the other.</w:t>
      </w:r>
    </w:p>
    <w:p>
      <w:r>
        <w:t>The primary engineering objectives were:</w:t>
      </w:r>
    </w:p>
    <w:p>
      <w:pPr>
        <w:ind w:left="360" w:hanging="216"/>
      </w:pPr>
      <w:r>
        <w:rPr>
          <w:b/>
        </w:rPr>
        <w:t xml:space="preserve">• </w:t>
      </w:r>
      <w:r>
        <w:t>correct asymmetric beginning/end padding handling in 2D and 3D Im2col helper paths;</w:t>
      </w:r>
    </w:p>
    <w:p>
      <w:pPr>
        <w:ind w:left="360" w:hanging="216"/>
      </w:pPr>
      <w:r>
        <w:rPr>
          <w:b/>
        </w:rPr>
        <w:t xml:space="preserve">• </w:t>
      </w:r>
      <w:r>
        <w:t>fix Conv/Pool edge cases associated with padding and ceil_mode behavior;</w:t>
      </w:r>
    </w:p>
    <w:p>
      <w:pPr>
        <w:ind w:left="360" w:hanging="216"/>
      </w:pPr>
      <w:r>
        <w:rPr>
          <w:b/>
        </w:rPr>
        <w:t xml:space="preserve">• </w:t>
      </w:r>
      <w:r>
        <w:t>strengthen regression coverage so these edge cases remain protected;</w:t>
      </w:r>
    </w:p>
    <w:p>
      <w:pPr>
        <w:ind w:left="360" w:hanging="216"/>
      </w:pPr>
      <w:r>
        <w:rPr>
          <w:b/>
        </w:rPr>
        <w:t xml:space="preserve">• </w:t>
      </w:r>
      <w:r>
        <w:t>reduce generated-model dependence on TMVA/SOFIE_common.hxx;</w:t>
      </w:r>
    </w:p>
    <w:p>
      <w:pPr>
        <w:ind w:left="360" w:hanging="216"/>
      </w:pPr>
      <w:r>
        <w:rPr>
          <w:b/>
        </w:rPr>
        <w:t xml:space="preserve">• </w:t>
      </w:r>
      <w:r>
        <w:t>provide a centralized mechanism for emitting only the helper functions required by a generated model;</w:t>
      </w:r>
    </w:p>
    <w:p>
      <w:pPr>
        <w:ind w:left="360" w:hanging="216"/>
      </w:pPr>
      <w:r>
        <w:rPr>
          <w:b/>
        </w:rPr>
        <w:t xml:space="preserve">• </w:t>
      </w:r>
      <w:r>
        <w:t>preserve compatibility with Keras- and PyTorch-derived test models;</w:t>
      </w:r>
    </w:p>
    <w:p>
      <w:pPr>
        <w:ind w:left="360" w:hanging="216"/>
      </w:pPr>
      <w:r>
        <w:rPr>
          <w:b/>
        </w:rPr>
        <w:t xml:space="preserve">• </w:t>
      </w:r>
      <w:r>
        <w:t>validate the complete change set through local testing and ROOT continuous integration.</w:t>
      </w:r>
    </w:p>
    <w:p>
      <w:r>
        <w:t>These objectives were deliberately conservative in numerical scope. The goal was not to introduce a new operator family or claim performance improvements, but to make existing supported execution paths more correct, reproducible, portable, and maintainable.</w:t>
      </w:r>
    </w:p>
    <w:p>
      <w:pPr>
        <w:pStyle w:val="Heading1"/>
        <w:keepNext/>
      </w:pPr>
      <w:r>
        <w:t>2. Contribution Boundary</w:t>
      </w:r>
    </w:p>
    <w:p>
      <w:r>
        <w:t>This notebook documents the Week 9 work represented by the merged SOFIE changes discussed and validated during this development cycle. Existing ROOT facilities such as the ONNX parser, RModel code-generation pipeline, operator implementations, common helper routines, and the ROOT CI system predate this week.</w:t>
      </w:r>
    </w:p>
    <w:p>
      <w:r>
        <w:t>The direct Week 9 contributions documented here are:</w:t>
      </w:r>
    </w:p>
    <w:p>
      <w:pPr>
        <w:ind w:left="360" w:hanging="216"/>
      </w:pPr>
      <w:r>
        <w:rPr>
          <w:b/>
        </w:rPr>
        <w:t xml:space="preserve">• </w:t>
      </w:r>
      <w:r>
        <w:t>PR #22862 — [tmva][sofie] Fix Conv/Pool padding &amp; ceil_mode bugs, and harden the SOFIE test suite;</w:t>
      </w:r>
    </w:p>
    <w:p>
      <w:pPr>
        <w:ind w:left="360" w:hanging="216"/>
      </w:pPr>
      <w:r>
        <w:rPr>
          <w:b/>
        </w:rPr>
        <w:t xml:space="preserve">• </w:t>
      </w:r>
      <w:r>
        <w:t>PR #22920 — [tmva][sofie] Emit self-contained inference code from SOFIE;</w:t>
      </w:r>
    </w:p>
    <w:p>
      <w:pPr>
        <w:ind w:left="360" w:hanging="216"/>
      </w:pPr>
      <w:r>
        <w:t>• PR #22799 — [tmva][sofie] Translate Keras and PyTorch parser tests to Python;</w:t>
      </w:r>
    </w:p>
    <w:p>
      <w:pPr>
        <w:ind w:left="360" w:hanging="216"/>
      </w:pPr>
      <w:r>
        <w:t>• PR #22758 — [tmva][sofie] Generate ONNX models and refs instead of binaries in repo;</w:t>
      </w:r>
    </w:p>
    <w:p>
      <w:pPr>
        <w:ind w:left="360" w:hanging="216"/>
      </w:pPr>
      <w:r>
        <w:rPr>
          <w:b/>
        </w:rPr>
        <w:t xml:space="preserve">• </w:t>
      </w:r>
      <w:r>
        <w:t>updates to SOFIE_common.hxx required by both correctness and self-contained-generation work;</w:t>
      </w:r>
    </w:p>
    <w:p>
      <w:pPr>
        <w:ind w:left="360" w:hanging="216"/>
      </w:pPr>
      <w:r>
        <w:rPr>
          <w:b/>
        </w:rPr>
        <w:t xml:space="preserve">• </w:t>
      </w:r>
      <w:r>
        <w:t>separate begin/end padding propagation through Im2col and Im2col_3d;</w:t>
      </w:r>
    </w:p>
    <w:p>
      <w:pPr>
        <w:ind w:left="360" w:hanging="216"/>
      </w:pPr>
      <w:r>
        <w:rPr>
          <w:b/>
        </w:rPr>
        <w:t xml:space="preserve">• </w:t>
      </w:r>
      <w:r>
        <w:t>helper-source generation infrastructure for standalone generated models;</w:t>
      </w:r>
    </w:p>
    <w:p>
      <w:pPr>
        <w:ind w:left="360" w:hanging="216"/>
      </w:pPr>
      <w:r>
        <w:rPr>
          <w:b/>
        </w:rPr>
        <w:t xml:space="preserve">• </w:t>
      </w:r>
      <w:r>
        <w:t>local, framework-level, and GitHub CI validation.</w:t>
      </w:r>
    </w:p>
    <w:p>
      <w:r>
        <w:t>Where this notebook discusses existing helper routines or model-generation infrastructure, those components are described as the architectural context into which the Week 9 changes were integrated.</w:t>
      </w:r>
    </w:p>
    <w:p>
      <w:pPr>
        <w:pStyle w:val="Heading1"/>
        <w:keepNext/>
      </w:pPr>
      <w:r>
        <w:t>3. Technical Background</w:t>
      </w:r>
    </w:p>
    <w:p>
      <w:r>
        <w:t>SOFIE translates supported machine-learning models into generated C++ inference code. Two properties are particularly important for this workflow. First, generated code must reproduce framework semantics exactly, including edge cases such as asymmetric padding and ceil-based output-shape rules. Second, the generated artifact should be as independent as practical from the implementation details of the generator itself.</w:t>
      </w:r>
    </w:p>
    <w:p>
      <w:r>
        <w:t>Convolution helpers such as Im2col convert spatial neighborhoods into a matrix-like representation that can be consumed efficiently by subsequent computation. The helper therefore participates directly in how padding, dilation, stride, and output dimensions are interpreted. A seemingly small assumption—such as representing padding with a single value per axis—becomes incorrect when an ONNX model uses different padding at the beginning and end of an axis.</w:t>
      </w:r>
    </w:p>
    <w:p>
      <w:r>
        <w:t>At the same time, SOFIE-generated code has historically relied on helper definitions provided by TMVA/SOFIE_common.hxx. That is convenient inside a ROOT build, but it couples a generated model to a project-internal header. Self-contained generation instead requires the generator to know which helpers are needed and to emit the corresponding source into the generated artifact.</w:t>
      </w:r>
    </w:p>
    <w:p>
      <w:pPr>
        <w:pStyle w:val="Heading1"/>
        <w:keepNext/>
      </w:pPr>
      <w:r>
        <w:t>4. Conv/Pool Correctness</w:t>
      </w:r>
    </w:p>
    <w:p>
      <w:pPr>
        <w:pStyle w:val="Heading2"/>
        <w:keepNext/>
      </w:pPr>
      <w:r>
        <w:t>4.1 Engineering Motivation</w:t>
      </w:r>
    </w:p>
    <w:p>
      <w:r>
        <w:t>The Conv/Pool correction addressed cases in which the padding at the beginning of a spatial axis differs from the padding at its end. ONNX explicitly permits this representation, and automatic padding modes can also produce unequal sides when the total required padding is odd.</w:t>
      </w:r>
    </w:p>
    <w:p>
      <w:r>
        <w:t>The earlier 2D Im2col interface used one height padding value and one width padding value. Its output-size formula consequently assumed symmetric padding by multiplying each value by two. The same structural assumption appeared in the 3D helper.</w:t>
      </w:r>
    </w:p>
    <w:p>
      <w:pPr>
        <w:pStyle w:val="Heading2"/>
        <w:keepNext/>
      </w:pPr>
      <w:r>
        <w:t>4.2 Separate Beginning and Ending Padding</w:t>
      </w:r>
    </w:p>
    <w:p>
      <w:r>
        <w:t>The updated interface carries independent beginning and ending values for every spatial axis. In 2D, pad_h and pad_w are replaced by pad_h_begin, pad_h_end, pad_w_begin, and pad_w_end. The output-size calculation now uses the actual sum of the two sides.</w:t>
      </w:r>
    </w:p>
    <w:p>
      <w:pPr>
        <w:pStyle w:val="CodeBlock"/>
        <w:keepLines/>
      </w:pPr>
      <w:r>
        <w:rPr>
          <w:sz w:val="17"/>
        </w:rPr>
        <w:t>output_h =</w:t>
        <w:br/>
        <w:t xml:space="preserve">    (height + pad_h_begin + pad_h_end</w:t>
        <w:br/>
        <w:t xml:space="preserve">     - (dilation_h * (kernel_h - 1) + 1))</w:t>
        <w:br/>
        <w:t xml:space="preserve">    / stride_h + 1;</w:t>
        <w:br/>
        <w:br/>
        <w:t>output_w =</w:t>
        <w:br/>
        <w:t xml:space="preserve">    (width + pad_w_begin + pad_w_end</w:t>
        <w:br/>
        <w:t xml:space="preserve">     - (dilation_w * (kernel_w - 1) + 1))</w:t>
        <w:br/>
        <w:t xml:space="preserve">    / stride_w + 1;</w:t>
      </w:r>
    </w:p>
    <w:p>
      <w:r>
        <w:t>The input coordinate initialization was updated consistently. Instead of offsetting the first sampled row and column by a symmetric pad_h or pad_w, the helper now begins from the corresponding beginning padding.</w:t>
      </w:r>
    </w:p>
    <w:p>
      <w:pPr>
        <w:pStyle w:val="CodeBlock"/>
        <w:keepLines/>
      </w:pPr>
      <w:r>
        <w:rPr>
          <w:sz w:val="17"/>
        </w:rPr>
        <w:t>int input_row = -pad_h_begin + kernel_row * dilation_h;</w:t>
        <w:br/>
        <w:t>int input_col = -pad_w_begin + kernel_col * dilation_w;</w:t>
      </w:r>
    </w:p>
    <w:p>
      <w:pPr>
        <w:pStyle w:val="Heading2"/>
        <w:keepNext/>
      </w:pPr>
      <w:r>
        <w:t>4.3 Extension to 3D Im2col</w:t>
      </w:r>
    </w:p>
    <w:p>
      <w:r>
        <w:t>The same correction was applied to Im2col_3d. Depth, height, and width now each carry a begin/end pair. This avoids preserving a symmetric-padding assumption in the 3D path after fixing only the 2D helper.</w:t>
      </w:r>
    </w:p>
    <w:p>
      <w:pPr>
        <w:pStyle w:val="CodeBlock"/>
        <w:keepLines/>
      </w:pPr>
      <w:r>
        <w:rPr>
          <w:sz w:val="17"/>
        </w:rPr>
        <w:t>pad_d_begin, pad_d_end,</w:t>
        <w:br/>
        <w:t>pad_h_begin, pad_h_end,</w:t>
        <w:br/>
        <w:t>pad_w_begin, pad_w_end</w:t>
      </w:r>
    </w:p>
    <w:p>
      <w:r>
        <w:t>The 3D output dimensions are correspondingly derived from begin + end padding on each axis. This keeps the helper's coordinate system aligned with the shape computation used by the surrounding operator logic.</w:t>
      </w:r>
    </w:p>
    <w:p>
      <w:pPr>
        <w:pStyle w:val="Heading2"/>
        <w:keepNext/>
      </w:pPr>
      <w:r>
        <w:t>4.4 ceil_mode Partial-Window Correctness</w:t>
      </w:r>
    </w:p>
    <w:p>
      <w:r>
        <w:t>PR #22862 corrected two distinct pooling boundary errors exposed by ceil_mode. First, an AveragePool window made partial by ceil-based output sizing could still divide by the full kernel area. For input [1, 2, 3, 4, 5, 6] with kernel size 3, stride 2, and ceil_mode = 1, the final window contains only [5, 6]. The incorrect path produced 3.6667 by dividing their sum by 3; the corrected result is 5.5, using the clipped valid window extent when padding or ceil_mode makes a window partial.</w:t>
      </w:r>
    </w:p>
    <w:p>
      <w:r>
        <w:t>Second, rounding the output dimension upward could create a final sliding window whose start position was already past the valid input region. ONNX drops such a window, but the previous logic could retain it in both inferred shape and generated execution. The fix clips this case only when ceil_mode is enabled, preserving the ordinary floor-mode path. This boundary logic was checked against onnxruntime across 1,760 one-dimensional pooling configurations and applies to both MaxPool and AveragePool.</w:t>
      </w:r>
    </w:p>
    <w:p>
      <w:pPr>
        <w:pStyle w:val="Heading2"/>
        <w:keepNext/>
      </w:pPr>
      <w:r>
        <w:t>4.5 Debugging Record and Rejected Fixes</w:t>
      </w:r>
    </w:p>
    <w:p>
      <w:pPr/>
      <w:r>
        <w:t>The asymmetric-padding failure was useful because the output-shape calculation initially appeared consistent while the generated convolution result was still incorrect. Inspection showed that the inconsistency occurred at the boundary between Conv shape inference and the Im2col helpers.</w:t>
      </w:r>
    </w:p>
    <w:p>
      <w:pPr/>
      <w:r>
        <w:t>Conv shape inference already preserved the padding applied at the beginning and end of each spatial dimension independently. However, the Im2col path represented padding using a single value per dimension. This effectively introduced a symmetric-padding assumption into the lowering step even when the ONNX model specified asymmetric padding.</w:t>
      </w:r>
    </w:p>
    <w:p>
      <w:pPr/>
      <w:r>
        <w:t>The consequence was more serious than an incorrect shape formula. The _xcol buffer was allocated according to the correctly inferred output geometry, while Im2col populated that buffer according to a different, symmetric padding geometry. The convolution could therefore consume columns that did not correspond to the intended ONNX padding semantics.</w:t>
      </w:r>
    </w:p>
    <w:p>
      <w:pPr/>
      <w:r>
        <w:t>The correction was implemented by propagating the two padding boundaries independently through the helper interface:</w:t>
      </w:r>
    </w:p>
    <w:p>
      <w:pPr>
        <w:pStyle w:val="CodeBlock"/>
        <w:keepLines/>
      </w:pPr>
      <w:r>
        <w:rPr>
          <w:sz w:val="17"/>
        </w:rPr>
        <w:t>// Previous representation</w:t>
        <w:br/>
        <w:t>pad_h</w:t>
        <w:br/>
        <w:t>pad_w</w:t>
        <w:br/>
        <w:br/>
        <w:t>// Revised representation</w:t>
        <w:br/>
        <w:t>pad_h_begin</w:t>
        <w:br/>
        <w:t>pad_h_end</w:t>
        <w:br/>
        <w:t>pad_w_begin</w:t>
        <w:br/>
        <w:t>pad_w_end</w:t>
      </w:r>
    </w:p>
    <w:p>
      <w:pPr>
        <w:keepLines/>
      </w:pPr>
      <w:r>
        <w:t>Rejected / incomplete approach 1 — changing only the output-shape formula would not have been sufficient. The output geometry could become correct while Im2col still sampled from coordinates derived from a symmetric padding origin, leaving the generated values incorrect.</w:t>
      </w:r>
    </w:p>
    <w:p>
      <w:pPr>
        <w:keepLines/>
      </w:pPr>
      <w:r>
        <w:t>Rejected / incomplete approach 2 — collapsing beginning and ending padding into a single averaged value also loses ONNX semantics whenever the two sides differ. The fix therefore preserves pad_*_begin and pad_*_end independently through the helper interface rather than reconstructing a symmetric approximation.</w:t>
      </w:r>
    </w:p>
    <w:p>
      <w:pPr/>
      <w:r>
        <w:t>The key debugging lesson was that the same spatial semantics must be preserved across shape inference and lowering: correct output dimensions alone do not guarantee correct sampled coordinates.</w:t>
      </w:r>
    </w:p>
    <w:p>
      <w:pPr>
        <w:pStyle w:val="Heading2"/>
        <w:keepNext/>
      </w:pPr>
      <w:r>
        <w:t>4.6 Validation Evidence</w:t>
      </w:r>
    </w:p>
    <w:p>
      <w:pPr>
        <w:keepNext/>
      </w:pPr>
      <w:r>
        <w:t>Validation covered both semantic edge cases and repository integration. Regression models exercised asymmetric padding across 1D, 2D, 3D, and grouped convolution paths using SAME_UPPER, SAME_LOWER, and explicit pads. The ceil_mode boundary logic was additionally checked against ONNX Runtime across 1,760 one-dimensional pooling configurations for MaxPool and AveragePool.</w:t>
      </w:r>
    </w:p>
    <w:p>
      <w:pPr>
        <w:keepNext/>
      </w:pPr>
      <w:r>
        <w:t>The complete Week 9 validation then passed through the separately reported local compile/pass checks (103), the targeted/local SOFIE suite (154 tests), Keras and PyTorch regression paths, and ROOT GitHub CI (3,875 tests). PR #22862 was merged after these checks.</w:t>
      </w:r>
    </w:p>
    <w:p>
      <w:pPr>
        <w:pStyle w:val="Heading1"/>
        <w:keepNext/>
      </w:pPr>
      <w:r>
        <w:t>5. Test-Suite Hardening</w:t>
      </w:r>
    </w:p>
    <w:p>
      <w:pPr>
        <w:pStyle w:val="Heading2"/>
        <w:keepNext/>
      </w:pPr>
      <w:r>
        <w:t>5.1 Why the Tests Matter</w:t>
      </w:r>
    </w:p>
    <w:p>
      <w:r>
        <w:t>A numerical fix is incomplete if the failure mode is not represented in regression testing. Week 9 therefore treated the test-suite changes as part of the implementation rather than as an afterthought.</w:t>
      </w:r>
    </w:p>
    <w:p>
      <w:r>
        <w:t>The relevant cases exercise combinations that are easy to underrepresent in simple models: unequal padding on opposite sides, output windows near tensor boundaries, ceil-based pooling shape rules, and generated models originating from external frameworks.</w:t>
      </w:r>
    </w:p>
    <w:p>
      <w:pPr>
        <w:pStyle w:val="Heading2"/>
        <w:keepNext/>
      </w:pPr>
      <w:r>
        <w:t>5.2 Framework-Level Coverage</w:t>
      </w:r>
    </w:p>
    <w:p>
      <w:r>
        <w:t>Keras- and PyTorch-derived model tests were both included in validation. Their successful completion is important because the affected code sits below the parser layer: a helper-level correction must remain compatible with models arriving through different frontend paths.</w:t>
      </w:r>
    </w:p>
    <w:p>
      <w:pPr>
        <w:pStyle w:val="Heading2"/>
        <w:keepNext/>
      </w:pPr>
      <w:r>
        <w:t>5.3 Regression Philosophy</w:t>
      </w:r>
    </w:p>
    <w:p>
      <w:r>
        <w:t>The most useful outcome of the test hardening is not simply a larger test count. The new coverage binds specific shape and padding semantics to executable expectations. Future changes to Conv, Pool, or common helpers can therefore be checked against these boundary cases automatically.</w:t>
      </w:r>
    </w:p>
    <w:p>
      <w:pPr/>
      <w:r>
        <w:t>Two additional merged Week 9 pull requests strengthened the reproducibility and maintainability of SOFIE parser/model tests. PR #22758 replaced checked-in ONNX binaries and frozen reference headers with reproducible model and reference generation, making model structure and expected-output generation inspectable. PR #22799 translated the Keras and PyTorch parser tests to Python, aligning the tests with parsers that already depend on Python packages and supporting the longer-term transition of the non-ONNX parser path toward a proper Python module.</w:t>
      </w:r>
    </w:p>
    <w:p>
      <w:pPr>
        <w:pStyle w:val="Heading1"/>
        <w:keepNext/>
      </w:pPr>
      <w:r>
        <w:t>6. Self-Contained Inference Code Generation</w:t>
      </w:r>
    </w:p>
    <w:p>
      <w:pPr>
        <w:pStyle w:val="Heading2"/>
        <w:keepNext/>
      </w:pPr>
      <w:r>
        <w:t>6.1 Engineering Motivation</w:t>
      </w:r>
    </w:p>
    <w:p>
      <w:r>
        <w:t>PR #22920 addressed a different but complementary issue: generated SOFIE inference code should not need to include TMVA/SOFIE_common.hxx merely to obtain internal helper implementations. A generated model is more portable when the source required for inference is emitted together with that model.</w:t>
      </w:r>
    </w:p>
    <w:p>
      <w:r>
        <w:t>The previous arrangement made helper routines convenient to share inside ROOT, but it also meant that a generated inference artifact remained coupled to the internal common header. The Week 9 change moves toward a model in which the generator explicitly emits the helper source requested by the model.</w:t>
      </w:r>
    </w:p>
    <w:p>
      <w:pPr>
        <w:pStyle w:val="Heading2"/>
        <w:keepNext/>
        <w:pageBreakBefore/>
      </w:pPr>
      <w:r>
        <w:t>6.2 Generated-Code Dependency Boundary</w:t>
      </w:r>
    </w:p>
    <w:p>
      <w:pPr/>
      <w:r>
        <w:t>The architectural effect of the change can be summarized by comparing the generated-code dependency path before and after the modification.</w:t>
      </w:r>
    </w:p>
    <w:p>
      <w:pPr>
        <w:pStyle w:val="CodeBlock"/>
        <w:keepLines/>
      </w:pPr>
      <w:r>
        <w:rPr>
          <w:sz w:val="17"/>
        </w:rPr>
        <w:t>Before</w:t>
        <w:br/>
        <w:br/>
        <w:t>Generated SOFIE model</w:t>
        <w:br/>
        <w:t xml:space="preserve">        │</w:t>
        <w:br/>
        <w:t xml:space="preserve">        ▼</w:t>
        <w:br/>
        <w:t>#include "TMVA/SOFIE_common.hxx"</w:t>
        <w:br/>
        <w:t xml:space="preserve">        │</w:t>
        <w:br/>
        <w:t xml:space="preserve">        ▼</w:t>
        <w:br/>
        <w:t>ROOT/TMVA helper implementations</w:t>
        <w:br/>
        <w:br/>
        <w:br/>
        <w:t>After</w:t>
        <w:br/>
        <w:br/>
        <w:t>Operator / RModel helper requirements</w:t>
        <w:br/>
        <w:t xml:space="preserve">        │</w:t>
        <w:br/>
        <w:t xml:space="preserve">        ▼</w:t>
        <w:br/>
        <w:t>AddNeededHelperFunction(...)</w:t>
        <w:br/>
        <w:t xml:space="preserve">        │</w:t>
        <w:br/>
        <w:t xml:space="preserve">        ▼</w:t>
        <w:br/>
        <w:t>Required-helper dependency resolution</w:t>
        <w:br/>
        <w:t xml:space="preserve">        │</w:t>
        <w:br/>
        <w:t xml:space="preserve">        ▼</w:t>
        <w:br/>
        <w:t>GenerateHelperFunctionsCode(...)</w:t>
        <w:br/>
        <w:t xml:space="preserve">        │</w:t>
        <w:br/>
        <w:t xml:space="preserve">        ▼</w:t>
        <w:br/>
        <w:t>Only required helper source</w:t>
        <w:br/>
        <w:t>emitted into generated model</w:t>
      </w:r>
    </w:p>
    <w:p>
      <w:pPr/>
      <w:r>
        <w:t>The important change is therefore not the creation of new inference semantics. The existing helper behavior is preserved; what changes is where the generated model obtains the implementation of that behavior. Instead of depending on the ROOT/TMVA common header at compilation time, the model receives the required helper source during code generation.</w:t>
      </w:r>
    </w:p>
    <w:p>
      <w:pPr/>
      <w:r>
        <w:t>This also keeps helper emission selective. RModel records which helper functions are required, dependency resolution adds any helper prerequisites, and GenerateHelperFunctionsCode() emits the corresponding source fragments. The generated artifact therefore contains the helper implementation required by that model without reproducing the entire SOFIE common-helper layer.</w:t>
      </w:r>
    </w:p>
    <w:p>
      <w:pPr>
        <w:pStyle w:val="Heading2"/>
        <w:keepNext/>
      </w:pPr>
      <w:r>
        <w:t>6.3 HelperFunctionsCode</w:t>
      </w:r>
    </w:p>
    <w:p>
      <w:r>
        <w:t>A new HelperFunctionsCode structure was introduced to represent the source fragments needed by generated inference code. The structure separates include directives, ordinary definitions, and Clad-specific definitions so they can be emitted in the correct location.</w:t>
      </w:r>
    </w:p>
    <w:p>
      <w:pPr>
        <w:pStyle w:val="CodeBlock"/>
        <w:keepLines/>
      </w:pPr>
      <w:r>
        <w:rPr>
          <w:sz w:val="17"/>
        </w:rPr>
        <w:t>struct HelperFunctionsCode {</w:t>
        <w:br/>
        <w:t xml:space="preserve">    std::string includes;</w:t>
        <w:br/>
        <w:t xml:space="preserve">    std::string definitions;</w:t>
        <w:br/>
        <w:t xml:space="preserve">    std::string cladDefinitions;</w:t>
        <w:br/>
        <w:t>};</w:t>
      </w:r>
    </w:p>
    <w:p>
      <w:r>
        <w:t>This separation is more than formatting. Includes belong in the header preamble, normal helper definitions belong inside the generated model namespace, and custom derivative definitions may need file-scope placement so that Clad can discover them.</w:t>
      </w:r>
    </w:p>
    <w:p>
      <w:pPr>
        <w:pStyle w:val="Heading2"/>
        <w:keepNext/>
      </w:pPr>
      <w:r>
        <w:t>6.4 Centralized Helper Generation</w:t>
      </w:r>
    </w:p>
    <w:p>
      <w:r>
        <w:t>The common interface now exposes a generator that accepts the set of helpers required by a model, the generated model namespace, and information needed to avoid duplicate declarations.</w:t>
      </w:r>
    </w:p>
    <w:p>
      <w:pPr>
        <w:pStyle w:val="CodeBlock"/>
        <w:keepLines/>
      </w:pPr>
      <w:r>
        <w:rPr>
          <w:sz w:val="17"/>
        </w:rPr>
        <w:t>HelperFunctionsCode GenerateHelperFunctionsCode(</w:t>
        <w:br/>
        <w:t xml:space="preserve">    const std::set&lt;std::string&gt; &amp;neededHelpers,</w:t>
        <w:br/>
        <w:t xml:space="preserve">    const std::string &amp;modelNamespace,</w:t>
        <w:br/>
        <w:t xml:space="preserve">    bool sgemmAlreadyDeclared = false);</w:t>
      </w:r>
    </w:p>
    <w:p>
      <w:pPr>
        <w:pStyle w:val="Heading2"/>
      </w:pPr>
      <w:r>
        <w:t>6.5 SOFIE_common.hxx Refactoring and Dependency Resolution</w:t>
      </w:r>
    </w:p>
    <w:p>
      <w:r>
        <w:t>The refactoring separates helper functionality needed while generating a model from helper source that must travel with the generated inference artifact. Generated-code-only helper implementations were moved out of the common header path, while model generation records concrete requirements through AddNeededHelperFunction(). GenerateHelperFunctionsCode() receives the collected neededHelpers set, resolves helper prerequisites, and emits only the required includes, ordinary definitions, and Clad custom-derivative definitions into valid scopes.</w:t>
      </w:r>
    </w:p>
    <w:p>
      <w:r>
        <w:t>This preserves selective emission rather than copying the entire SOFIE common-helper layer into every generated model. It also avoids duplicate helper-side declarations such as SGEMM and keeps shared boundary types such as GNN_Data compatible with existing callers. The rejected alternative was a blanket copy of all helpers: that would make the artifact larger, obscure the real dependency set, and recreate unnecessary coupling inside the generated source.</w:t>
      </w:r>
    </w:p>
    <w:p>
      <w:pPr>
        <w:pStyle w:val="Heading2"/>
      </w:pPr>
      <w:r>
        <w:t>6.6 Validation and Engineering Impact</w:t>
      </w:r>
    </w:p>
    <w:p>
      <w:r>
        <w:t>The change was validated through generated-code compilation and targeted runtime tests, followed by Keras/PyTorch regression paths and ROOT repository CI. Its engineering value is portability and clearer dependency ownership; no runtime performance improvement is claimed.</w:t>
      </w:r>
    </w:p>
    <w:p>
      <w:r>
        <w:t>The refactoring improves the separation between operator semantics, shared helper implementation, and code emission. It also makes standalone generation a first-class property of the generator rather than a manual post-processing step.</w:t>
      </w:r>
    </w:p>
    <w:p>
      <w:r>
        <w:t>No performance claim is made for this change. Its primary value is portability, clearer dependency ownership, and a more maintainable code-generation boundary.</w:t>
      </w:r>
    </w:p>
    <w:p>
      <w:pPr>
        <w:pStyle w:val="Heading1"/>
        <w:keepNext/>
      </w:pPr>
      <w:r>
        <w:t>7. Validation Summary</w:t>
      </w:r>
    </w:p>
    <w:p>
      <w:pPr>
        <w:pStyle w:val="Heading2"/>
        <w:keepNext/>
      </w:pPr>
      <w:r>
        <w:t>7.1 Locally Executed Validation</w:t>
      </w:r>
    </w:p>
    <w:p>
      <w:pPr/>
      <w:r>
        <w:t>The Week 9 changes were first validated in the local development environment before repository-level integration results were considered. The 103 compile/pass checks and the 154-test targeted/local SOFIE suite are reported separately because they represent different validation scopes; they should not be added together as one aggregate test count.</w:t>
      </w:r>
    </w:p>
    <w:tbl>
      <w:tblPr>
        <w:tblStyle w:val="TableGrid"/>
        <w:tblW w:type="auto" w:w="0"/>
        <w:jc w:val="center"/>
        <w:tblLook w:firstColumn="1" w:firstRow="1" w:lastColumn="0" w:lastRow="0" w:noHBand="0" w:noVBand="1" w:val="04A0"/>
      </w:tblPr>
      <w:tblGrid>
        <w:gridCol w:w="4514"/>
        <w:gridCol w:w="4514"/>
      </w:tblGrid>
      <w:tr>
        <w:tc>
          <w:tcPr>
            <w:tcW w:type="dxa" w:w="4514"/>
            <w:vAlign w:val="center"/>
            <w:shd w:fill="E7E6E6"/>
          </w:tcPr>
          <w:p>
            <w:r/>
            <w:r>
              <w:rPr>
                <w:b/>
              </w:rPr>
              <w:t>Validation path</w:t>
            </w:r>
          </w:p>
        </w:tc>
        <w:tc>
          <w:tcPr>
            <w:tcW w:type="dxa" w:w="4514"/>
            <w:vAlign w:val="center"/>
            <w:shd w:fill="E7E6E6"/>
          </w:tcPr>
          <w:p>
            <w:r/>
            <w:r>
              <w:rPr>
                <w:b/>
              </w:rPr>
              <w:t>Result</w:t>
            </w:r>
          </w:p>
        </w:tc>
      </w:tr>
      <w:tr>
        <w:tc>
          <w:tcPr>
            <w:tcW w:type="dxa" w:w="4514"/>
            <w:vAlign w:val="center"/>
          </w:tcPr>
          <w:p>
            <w:r/>
            <w:r>
              <w:rPr>
                <w:b w:val="0"/>
              </w:rPr>
              <w:t>Local compile/pass checks</w:t>
            </w:r>
          </w:p>
        </w:tc>
        <w:tc>
          <w:tcPr>
            <w:tcW w:type="dxa" w:w="4514"/>
            <w:vAlign w:val="center"/>
          </w:tcPr>
          <w:p>
            <w:r/>
            <w:r>
              <w:rPr>
                <w:b w:val="0"/>
              </w:rPr>
              <w:t>103 passed</w:t>
            </w:r>
          </w:p>
        </w:tc>
      </w:tr>
      <w:tr>
        <w:tc>
          <w:tcPr>
            <w:tcW w:type="dxa" w:w="4514"/>
            <w:vAlign w:val="center"/>
          </w:tcPr>
          <w:p>
            <w:r/>
            <w:r>
              <w:rPr>
                <w:b w:val="0"/>
              </w:rPr>
              <w:t>Targeted/local SOFIE test suite</w:t>
            </w:r>
          </w:p>
        </w:tc>
        <w:tc>
          <w:tcPr>
            <w:tcW w:type="dxa" w:w="4514"/>
            <w:vAlign w:val="center"/>
          </w:tcPr>
          <w:p>
            <w:r/>
            <w:r>
              <w:rPr>
                <w:b w:val="0"/>
              </w:rPr>
              <w:t>154 tests passed</w:t>
            </w:r>
          </w:p>
        </w:tc>
      </w:tr>
      <w:tr>
        <w:tc>
          <w:tcPr>
            <w:tcW w:type="dxa" w:w="4514"/>
            <w:vAlign w:val="center"/>
          </w:tcPr>
          <w:p>
            <w:r/>
            <w:r>
              <w:rPr>
                <w:b w:val="0"/>
              </w:rPr>
              <w:t>Keras regression path</w:t>
            </w:r>
          </w:p>
        </w:tc>
        <w:tc>
          <w:tcPr>
            <w:tcW w:type="dxa" w:w="4514"/>
            <w:vAlign w:val="center"/>
          </w:tcPr>
          <w:p>
            <w:r/>
            <w:r>
              <w:rPr>
                <w:b w:val="0"/>
              </w:rPr>
              <w:t>Passed</w:t>
            </w:r>
          </w:p>
        </w:tc>
      </w:tr>
      <w:tr>
        <w:tc>
          <w:tcPr>
            <w:tcW w:type="dxa" w:w="4514"/>
            <w:vAlign w:val="center"/>
          </w:tcPr>
          <w:p>
            <w:r/>
            <w:r>
              <w:rPr>
                <w:b w:val="0"/>
              </w:rPr>
              <w:t>PyTorch regression path</w:t>
            </w:r>
          </w:p>
        </w:tc>
        <w:tc>
          <w:tcPr>
            <w:tcW w:type="dxa" w:w="4514"/>
            <w:vAlign w:val="center"/>
          </w:tcPr>
          <w:p>
            <w:r/>
            <w:r>
              <w:rPr>
                <w:b w:val="0"/>
              </w:rPr>
              <w:t>Passed</w:t>
            </w:r>
          </w:p>
        </w:tc>
      </w:tr>
    </w:tbl>
    <w:p>
      <w:pPr/>
      <w:r>
        <w:t>These checks were executed locally and were used to verify compilation, operator correctness, generated-code behavior, and compatibility with the parser-related regression paths affected by the week's changes.</w:t>
      </w:r>
    </w:p>
    <w:p>
      <w:pPr>
        <w:pStyle w:val="Heading2"/>
        <w:keepNext/>
      </w:pPr>
      <w:r>
        <w:t>7.2 Repository CI Evidence</w:t>
      </w:r>
    </w:p>
    <w:p>
      <w:pPr/>
      <w:r>
        <w:t>After local validation, the Week 9 change set was also exercised through ROOT's repository continuous-integration infrastructure. All four documented pull requests — #22862, #22920, #22799, and #22758 — reached merged status.</w:t>
      </w:r>
    </w:p>
    <w:tbl>
      <w:tblPr>
        <w:tblStyle w:val="TableGrid"/>
        <w:tblW w:type="auto" w:w="0"/>
        <w:jc w:val="center"/>
        <w:tblLook w:firstColumn="1" w:firstRow="1" w:lastColumn="0" w:lastRow="0" w:noHBand="0" w:noVBand="1" w:val="04A0"/>
      </w:tblPr>
      <w:tblGrid>
        <w:gridCol w:w="4514"/>
        <w:gridCol w:w="4514"/>
      </w:tblGrid>
      <w:tr>
        <w:tc>
          <w:tcPr>
            <w:tcW w:type="dxa" w:w="4514"/>
            <w:vAlign w:val="center"/>
            <w:shd w:fill="E7E6E6"/>
          </w:tcPr>
          <w:p>
            <w:r/>
            <w:r>
              <w:rPr>
                <w:b/>
              </w:rPr>
              <w:t>Repository evidence</w:t>
            </w:r>
          </w:p>
        </w:tc>
        <w:tc>
          <w:tcPr>
            <w:tcW w:type="dxa" w:w="4514"/>
            <w:vAlign w:val="center"/>
            <w:shd w:fill="E7E6E6"/>
          </w:tcPr>
          <w:p>
            <w:r/>
            <w:r>
              <w:rPr>
                <w:b/>
              </w:rPr>
              <w:t>Result</w:t>
            </w:r>
          </w:p>
        </w:tc>
      </w:tr>
      <w:tr>
        <w:tc>
          <w:tcPr>
            <w:tcW w:type="dxa" w:w="4514"/>
            <w:vAlign w:val="center"/>
          </w:tcPr>
          <w:p>
            <w:r/>
            <w:r>
              <w:rPr>
                <w:b w:val="0"/>
              </w:rPr>
              <w:t>ROOT GitHub CI</w:t>
            </w:r>
          </w:p>
        </w:tc>
        <w:tc>
          <w:tcPr>
            <w:tcW w:type="dxa" w:w="4514"/>
            <w:vAlign w:val="center"/>
          </w:tcPr>
          <w:p>
            <w:r/>
            <w:r>
              <w:rPr>
                <w:b w:val="0"/>
              </w:rPr>
              <w:t>3,875 tests passed</w:t>
            </w:r>
          </w:p>
        </w:tc>
      </w:tr>
      <w:tr>
        <w:tc>
          <w:tcPr>
            <w:tcW w:type="dxa" w:w="4514"/>
            <w:vAlign w:val="center"/>
          </w:tcPr>
          <w:p>
            <w:r/>
            <w:r>
              <w:rPr>
                <w:b w:val="0"/>
              </w:rPr>
              <w:t>PR #22862</w:t>
            </w:r>
          </w:p>
        </w:tc>
        <w:tc>
          <w:tcPr>
            <w:tcW w:type="dxa" w:w="4514"/>
            <w:vAlign w:val="center"/>
          </w:tcPr>
          <w:p>
            <w:r/>
            <w:r>
              <w:rPr>
                <w:b w:val="0"/>
              </w:rPr>
              <w:t>Merged</w:t>
            </w:r>
          </w:p>
        </w:tc>
      </w:tr>
      <w:tr>
        <w:tc>
          <w:tcPr>
            <w:tcW w:type="dxa" w:w="4514"/>
            <w:vAlign w:val="center"/>
          </w:tcPr>
          <w:p>
            <w:r/>
            <w:r>
              <w:rPr>
                <w:b w:val="0"/>
              </w:rPr>
              <w:t>PR #22920</w:t>
            </w:r>
          </w:p>
        </w:tc>
        <w:tc>
          <w:tcPr>
            <w:tcW w:type="dxa" w:w="4514"/>
            <w:vAlign w:val="center"/>
          </w:tcPr>
          <w:p>
            <w:r/>
            <w:r>
              <w:rPr>
                <w:b w:val="0"/>
              </w:rPr>
              <w:t>Merged</w:t>
            </w:r>
          </w:p>
        </w:tc>
      </w:tr>
      <w:tr>
        <w:tc>
          <w:tcPr>
            <w:tcW w:type="dxa" w:w="4514"/>
          </w:tcPr>
          <w:p>
            <w:r>
              <w:t>PR #22799</w:t>
            </w:r>
          </w:p>
        </w:tc>
        <w:tc>
          <w:tcPr>
            <w:tcW w:type="dxa" w:w="4514"/>
          </w:tcPr>
          <w:p>
            <w:r>
              <w:t>Merged</w:t>
            </w:r>
          </w:p>
        </w:tc>
      </w:tr>
      <w:tr>
        <w:tc>
          <w:tcPr>
            <w:tcW w:type="dxa" w:w="4514"/>
          </w:tcPr>
          <w:p>
            <w:r>
              <w:t>PR #22758</w:t>
            </w:r>
          </w:p>
        </w:tc>
        <w:tc>
          <w:tcPr>
            <w:tcW w:type="dxa" w:w="4514"/>
          </w:tcPr>
          <w:p>
            <w:r>
              <w:t>Merged</w:t>
            </w:r>
          </w:p>
        </w:tc>
      </w:tr>
    </w:tbl>
    <w:p>
      <w:pPr/>
      <w:r>
        <w:t>The repository CI result is reported separately from the locally executed tests so that the execution environment of each validation result remains explicit.</w:t>
      </w:r>
    </w:p>
    <w:p>
      <w:pPr>
        <w:pStyle w:val="Heading2"/>
        <w:keepNext/>
      </w:pPr>
      <w:r>
        <w:t>7.3 Why Multiple Layers Were Necessary</w:t>
      </w:r>
    </w:p>
    <w:p>
      <w:r>
        <w:t>The padding changes could compile while still producing an incorrect boundary value, and the self-contained generation changes could preserve numerical logic while breaking generated-source compilation. For that reason, a single test category would not have been sufficient.</w:t>
      </w:r>
    </w:p>
    <w:p>
      <w:r>
        <w:t>Passing Keras and PyTorch paths provides frontend diversity, while the full ROOT CI run checks integration with the broader repository. Together, these results provide substantially stronger evidence than a targeted unit test alone.</w:t>
      </w:r>
    </w:p>
    <w:p>
      <w:pPr>
        <w:pStyle w:val="Heading2"/>
        <w:keepNext/>
      </w:pPr>
      <w:r>
        <w:t>7.4 Scope of Claims</w:t>
      </w:r>
    </w:p>
    <w:p>
      <w:r>
        <w:t>Together, these results provide evidence for functional correctness, regression protection, and integration with the surrounding ROOT/SOFIE codebase. They do not constitute a performance benchmark. No claim is therefore made here regarding runtime speedup, memory reduction, throughput improvement, or generated-code size reduction.</w:t>
      </w:r>
    </w:p>
    <w:p>
      <w:pPr>
        <w:pStyle w:val="Heading1"/>
        <w:keepNext/>
      </w:pPr>
      <w:r>
        <w:t>8. Week 9 Engineering Lessons and Reflection</w:t>
      </w:r>
    </w:p>
    <w:p>
      <w:r>
        <w:t>Week 9 reinforced a common failure pattern in generated inference systems: correctness bugs often appear at abstraction boundaries. In PR #22862, shape inference already represented asymmetric begin/end padding, but Im2col lowering still encoded a symmetric-padding assumption. The fix therefore required the geometry used for allocation, output extent, and sampled coordinates to agree.</w:t>
      </w:r>
    </w:p>
    <w:p>
      <w:r>
        <w:t>PR #22920 exposed a different boundary. Generated operator code could be numerically correct while still depending on project-internal helper definitions. Making the artifact self-contained required explicit helper ownership: operators and RModel identify requirements, dependency resolution expands prerequisites, and only the required source is emitted into the generated model.</w:t>
      </w:r>
    </w:p>
    <w:p>
      <w:r>
        <w:t>The practical lesson from both tasks is that a local fix is not sufficient when two stages encode the same semantics differently. I increasingly treated validation as part of the implementation: reproduce the boundary case, identify the assumption that crosses the boundary, modify both sides consistently, add a discriminating regression, and then confirm repository integration.</w:t>
      </w:r>
    </w:p>
    <w:p>
      <w:r>
        <w:t>Week 9 shifted my focus from implementing individual operators to protecting semantic and dependency boundaries in generated inference systems.</w:t>
      </w:r>
    </w:p>
    <w:p>
      <w:pPr>
        <w:pStyle w:val="Heading1"/>
        <w:keepNext/>
      </w:pPr>
      <w:r>
        <w:t>Appendix A — Contribution Evidence Matrix</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vAlign w:val="center"/>
            <w:shd w:fill="D9EAF7"/>
          </w:tcPr>
          <w:p>
            <w:r/>
            <w:r>
              <w:rPr>
                <w:b/>
              </w:rPr>
              <w:t>Contribution</w:t>
            </w:r>
          </w:p>
        </w:tc>
        <w:tc>
          <w:tcPr>
            <w:tcW w:type="dxa" w:w="1806"/>
            <w:vAlign w:val="center"/>
            <w:shd w:fill="D9EAF7"/>
          </w:tcPr>
          <w:p>
            <w:r/>
            <w:r>
              <w:rPr>
                <w:b/>
              </w:rPr>
              <w:t>PR</w:t>
            </w:r>
          </w:p>
        </w:tc>
        <w:tc>
          <w:tcPr>
            <w:tcW w:type="dxa" w:w="1806"/>
            <w:vAlign w:val="center"/>
            <w:shd w:fill="D9EAF7"/>
          </w:tcPr>
          <w:p>
            <w:r/>
            <w:r>
              <w:rPr>
                <w:b/>
              </w:rPr>
              <w:t>Primary Evidence</w:t>
            </w:r>
          </w:p>
        </w:tc>
        <w:tc>
          <w:tcPr>
            <w:tcW w:type="dxa" w:w="1806"/>
            <w:vAlign w:val="center"/>
            <w:shd w:fill="D9EAF7"/>
          </w:tcPr>
          <w:p>
            <w:r/>
            <w:r>
              <w:rPr>
                <w:b/>
              </w:rPr>
              <w:t>Validation</w:t>
            </w:r>
          </w:p>
        </w:tc>
        <w:tc>
          <w:tcPr>
            <w:tcW w:type="dxa" w:w="1806"/>
            <w:vAlign w:val="center"/>
            <w:shd w:fill="D9EAF7"/>
          </w:tcPr>
          <w:p>
            <w:r/>
            <w:r>
              <w:rPr>
                <w:b/>
              </w:rPr>
              <w:t>Status</w:t>
            </w:r>
          </w:p>
        </w:tc>
      </w:tr>
      <w:tr>
        <w:tc>
          <w:tcPr>
            <w:tcW w:type="dxa" w:w="1806"/>
            <w:vAlign w:val="center"/>
          </w:tcPr>
          <w:p>
            <w:r/>
            <w:r>
              <w:rPr>
                <w:b w:val="0"/>
              </w:rPr>
              <w:t>Conv/Pool padding and ceil_mode correctness</w:t>
            </w:r>
          </w:p>
        </w:tc>
        <w:tc>
          <w:tcPr>
            <w:tcW w:type="dxa" w:w="1806"/>
            <w:vAlign w:val="center"/>
          </w:tcPr>
          <w:p>
            <w:r/>
            <w:r>
              <w:rPr>
                <w:b w:val="0"/>
              </w:rPr>
              <w:t>#22862</w:t>
            </w:r>
          </w:p>
        </w:tc>
        <w:tc>
          <w:tcPr>
            <w:tcW w:type="dxa" w:w="1806"/>
            <w:vAlign w:val="center"/>
          </w:tcPr>
          <w:p>
            <w:r/>
            <w:r>
              <w:rPr>
                <w:b w:val="0"/>
              </w:rPr>
              <w:t>Pool shape/generation logic; partial-window divisor handling; ceil_mode boundary handling</w:t>
            </w:r>
          </w:p>
        </w:tc>
        <w:tc>
          <w:tcPr>
            <w:tcW w:type="dxa" w:w="1806"/>
            <w:vAlign w:val="center"/>
          </w:tcPr>
          <w:p>
            <w:r/>
            <w:r>
              <w:rPr>
                <w:b w:val="0"/>
              </w:rPr>
              <w:t>Targeted regression tests; local SOFIE suite; ROOT CI</w:t>
            </w:r>
          </w:p>
        </w:tc>
        <w:tc>
          <w:tcPr>
            <w:tcW w:type="dxa" w:w="1806"/>
            <w:vAlign w:val="center"/>
          </w:tcPr>
          <w:p>
            <w:r/>
            <w:r>
              <w:rPr>
                <w:b w:val="0"/>
              </w:rPr>
              <w:t>Merged</w:t>
            </w:r>
          </w:p>
        </w:tc>
      </w:tr>
      <w:tr>
        <w:tc>
          <w:tcPr>
            <w:tcW w:type="dxa" w:w="1806"/>
            <w:vAlign w:val="center"/>
          </w:tcPr>
          <w:p>
            <w:r/>
            <w:r>
              <w:rPr>
                <w:b w:val="0"/>
              </w:rPr>
              <w:t>Asymmetric Conv padding</w:t>
            </w:r>
          </w:p>
        </w:tc>
        <w:tc>
          <w:tcPr>
            <w:tcW w:type="dxa" w:w="1806"/>
            <w:vAlign w:val="center"/>
          </w:tcPr>
          <w:p>
            <w:r/>
            <w:r>
              <w:rPr>
                <w:b w:val="0"/>
              </w:rPr>
              <w:t>#22862</w:t>
            </w:r>
          </w:p>
        </w:tc>
        <w:tc>
          <w:tcPr>
            <w:tcW w:type="dxa" w:w="1806"/>
            <w:vAlign w:val="center"/>
          </w:tcPr>
          <w:p>
            <w:r/>
            <w:r>
              <w:rPr>
                <w:b w:val="0"/>
              </w:rPr>
              <w:t>Im2col / Im2col_3d; independent pad_*_begin and pad_*_end propagation; corrected spatial indexing</w:t>
            </w:r>
          </w:p>
        </w:tc>
        <w:tc>
          <w:tcPr>
            <w:tcW w:type="dxa" w:w="1806"/>
            <w:vAlign w:val="center"/>
          </w:tcPr>
          <w:p>
            <w:r/>
            <w:r>
              <w:rPr>
                <w:b w:val="0"/>
              </w:rPr>
              <w:t>1D/2D/3D/grouped models; SAME_UPPER; SAME_LOWER; explicit pads</w:t>
            </w:r>
          </w:p>
        </w:tc>
        <w:tc>
          <w:tcPr>
            <w:tcW w:type="dxa" w:w="1806"/>
            <w:vAlign w:val="center"/>
          </w:tcPr>
          <w:p>
            <w:r/>
            <w:r>
              <w:rPr>
                <w:b w:val="0"/>
              </w:rPr>
              <w:t>Merged</w:t>
            </w:r>
          </w:p>
        </w:tc>
      </w:tr>
      <w:tr>
        <w:tc>
          <w:tcPr>
            <w:tcW w:type="dxa" w:w="1806"/>
            <w:vAlign w:val="center"/>
          </w:tcPr>
          <w:p>
            <w:r/>
            <w:r>
              <w:rPr>
                <w:b w:val="0"/>
              </w:rPr>
              <w:t>SOFIE test-suite hardening</w:t>
            </w:r>
          </w:p>
        </w:tc>
        <w:tc>
          <w:tcPr>
            <w:tcW w:type="dxa" w:w="1806"/>
            <w:vAlign w:val="center"/>
          </w:tcPr>
          <w:p>
            <w:r/>
            <w:r>
              <w:rPr>
                <w:b w:val="0"/>
              </w:rPr>
              <w:t>#22862</w:t>
            </w:r>
          </w:p>
        </w:tc>
        <w:tc>
          <w:tcPr>
            <w:tcW w:type="dxa" w:w="1806"/>
            <w:vAlign w:val="center"/>
          </w:tcPr>
          <w:p>
            <w:r/>
            <w:r>
              <w:rPr>
                <w:b w:val="0"/>
              </w:rPr>
              <w:t>Discriminating reference values; common comparison helpers; safer multi-output comparisons</w:t>
            </w:r>
          </w:p>
        </w:tc>
        <w:tc>
          <w:tcPr>
            <w:tcW w:type="dxa" w:w="1806"/>
            <w:vAlign w:val="center"/>
          </w:tcPr>
          <w:p>
            <w:r/>
            <w:r>
              <w:rPr>
                <w:b w:val="0"/>
              </w:rPr>
              <w:t>154 SOFIE tests passed locally; targeted regression coverage</w:t>
            </w:r>
          </w:p>
        </w:tc>
        <w:tc>
          <w:tcPr>
            <w:tcW w:type="dxa" w:w="1806"/>
            <w:vAlign w:val="center"/>
          </w:tcPr>
          <w:p>
            <w:r/>
            <w:r>
              <w:rPr>
                <w:b w:val="0"/>
              </w:rPr>
              <w:t>Merged</w:t>
            </w:r>
          </w:p>
        </w:tc>
      </w:tr>
      <w:tr>
        <w:tc>
          <w:tcPr>
            <w:tcW w:type="dxa" w:w="1806"/>
            <w:vAlign w:val="center"/>
          </w:tcPr>
          <w:p>
            <w:r/>
            <w:r>
              <w:rPr>
                <w:b w:val="0"/>
              </w:rPr>
              <w:t>Self-contained generated inference code</w:t>
            </w:r>
          </w:p>
        </w:tc>
        <w:tc>
          <w:tcPr>
            <w:tcW w:type="dxa" w:w="1806"/>
            <w:vAlign w:val="center"/>
          </w:tcPr>
          <w:p>
            <w:r/>
            <w:r>
              <w:rPr>
                <w:b w:val="0"/>
              </w:rPr>
              <w:t>#22920</w:t>
            </w:r>
          </w:p>
        </w:tc>
        <w:tc>
          <w:tcPr>
            <w:tcW w:type="dxa" w:w="1806"/>
            <w:vAlign w:val="center"/>
          </w:tcPr>
          <w:p>
            <w:r/>
            <w:r>
              <w:rPr>
                <w:b w:val="0"/>
              </w:rPr>
              <w:t>AddNeededHelperFunction(); GenerateHelperFunctionsCode(); generated helper-source emission</w:t>
            </w:r>
          </w:p>
        </w:tc>
        <w:tc>
          <w:tcPr>
            <w:tcW w:type="dxa" w:w="1806"/>
            <w:vAlign w:val="center"/>
          </w:tcPr>
          <w:p>
            <w:r/>
            <w:r>
              <w:rPr>
                <w:b w:val="0"/>
              </w:rPr>
              <w:t>Local compile/runtime validation; ROOT CI</w:t>
            </w:r>
          </w:p>
        </w:tc>
        <w:tc>
          <w:tcPr>
            <w:tcW w:type="dxa" w:w="1806"/>
            <w:vAlign w:val="center"/>
          </w:tcPr>
          <w:p>
            <w:r/>
            <w:r>
              <w:rPr>
                <w:b w:val="0"/>
              </w:rPr>
              <w:t>Merged</w:t>
            </w:r>
          </w:p>
        </w:tc>
      </w:tr>
      <w:tr>
        <w:tc>
          <w:tcPr>
            <w:tcW w:type="dxa" w:w="1806"/>
            <w:vAlign w:val="center"/>
          </w:tcPr>
          <w:p>
            <w:r/>
            <w:r>
              <w:rPr>
                <w:b w:val="0"/>
              </w:rPr>
              <w:t>SOFIE_common helper refactoring</w:t>
            </w:r>
          </w:p>
        </w:tc>
        <w:tc>
          <w:tcPr>
            <w:tcW w:type="dxa" w:w="1806"/>
            <w:vAlign w:val="center"/>
          </w:tcPr>
          <w:p>
            <w:r/>
            <w:r>
              <w:rPr>
                <w:b w:val="0"/>
              </w:rPr>
              <w:t>#22920</w:t>
            </w:r>
          </w:p>
        </w:tc>
        <w:tc>
          <w:tcPr>
            <w:tcW w:type="dxa" w:w="1806"/>
            <w:vAlign w:val="center"/>
          </w:tcPr>
          <w:p>
            <w:r/>
            <w:r>
              <w:rPr>
                <w:b w:val="0"/>
              </w:rPr>
              <w:t>Separation of generation-time helpers from generated-code helper source; selective helper dependency resolution</w:t>
            </w:r>
          </w:p>
        </w:tc>
        <w:tc>
          <w:tcPr>
            <w:tcW w:type="dxa" w:w="1806"/>
            <w:vAlign w:val="center"/>
          </w:tcPr>
          <w:p>
            <w:r/>
            <w:r>
              <w:rPr>
                <w:b w:val="0"/>
              </w:rPr>
              <w:t>Framework tests; generated-model validation; CI</w:t>
            </w:r>
          </w:p>
        </w:tc>
        <w:tc>
          <w:tcPr>
            <w:tcW w:type="dxa" w:w="1806"/>
            <w:vAlign w:val="center"/>
          </w:tcPr>
          <w:p>
            <w:r/>
            <w:r>
              <w:rPr>
                <w:b w:val="0"/>
              </w:rPr>
              <w:t>Merged</w:t>
            </w:r>
          </w:p>
        </w:tc>
      </w:tr>
      <w:tr>
        <w:tc>
          <w:tcPr>
            <w:tcW w:type="dxa" w:w="1806"/>
            <w:vAlign w:val="center"/>
          </w:tcPr>
          <w:p>
            <w:r/>
            <w:r>
              <w:rPr>
                <w:b w:val="0"/>
              </w:rPr>
              <w:t>Clad helper/pullback emission</w:t>
            </w:r>
          </w:p>
        </w:tc>
        <w:tc>
          <w:tcPr>
            <w:tcW w:type="dxa" w:w="1806"/>
            <w:vAlign w:val="center"/>
          </w:tcPr>
          <w:p>
            <w:r/>
            <w:r>
              <w:rPr>
                <w:b w:val="0"/>
              </w:rPr>
              <w:t>#22920</w:t>
            </w:r>
          </w:p>
        </w:tc>
        <w:tc>
          <w:tcPr>
            <w:tcW w:type="dxa" w:w="1806"/>
            <w:vAlign w:val="center"/>
          </w:tcPr>
          <w:p>
            <w:r/>
            <w:r>
              <w:rPr>
                <w:b w:val="0"/>
              </w:rPr>
              <w:t>Generated helper/pullback source used by derivative path instead of generated-code dependency on common headers</w:t>
            </w:r>
          </w:p>
        </w:tc>
        <w:tc>
          <w:tcPr>
            <w:tcW w:type="dxa" w:w="1806"/>
            <w:vAlign w:val="center"/>
          </w:tcPr>
          <w:p>
            <w:r/>
            <w:r>
              <w:rPr>
                <w:b w:val="0"/>
              </w:rPr>
              <w:t>TestGemmDerivative / relevant framework validation</w:t>
            </w:r>
          </w:p>
        </w:tc>
        <w:tc>
          <w:tcPr>
            <w:tcW w:type="dxa" w:w="1806"/>
            <w:vAlign w:val="center"/>
          </w:tcPr>
          <w:p>
            <w:r/>
            <w:r>
              <w:rPr>
                <w:b w:val="0"/>
              </w:rPr>
              <w:t>Merged</w:t>
            </w:r>
          </w:p>
        </w:tc>
      </w:tr>
      <w:tr>
        <w:tc>
          <w:tcPr>
            <w:tcW w:type="dxa" w:w="1806"/>
          </w:tcPr>
          <w:p>
            <w:r>
              <w:t>Generated ONNX models and references</w:t>
            </w:r>
          </w:p>
        </w:tc>
        <w:tc>
          <w:tcPr>
            <w:tcW w:type="dxa" w:w="1806"/>
          </w:tcPr>
          <w:p>
            <w:r>
              <w:t>#22758</w:t>
            </w:r>
          </w:p>
        </w:tc>
        <w:tc>
          <w:tcPr>
            <w:tcW w:type="dxa" w:w="1806"/>
          </w:tcPr>
          <w:p>
            <w:r>
              <w:t>generate_input_models.py; readable ONNX helper-API model definitions; seeded-random tensors; runtime .ref generation</w:t>
            </w:r>
          </w:p>
        </w:tc>
        <w:tc>
          <w:tcPr>
            <w:tcW w:type="dxa" w:w="1806"/>
          </w:tcPr>
          <w:p>
            <w:r>
              <w:t>ONNX ReferenceEvaluator / NumPy fallbacks; SOFIE ONNX test fixture; local and CI validation</w:t>
            </w:r>
          </w:p>
        </w:tc>
        <w:tc>
          <w:tcPr>
            <w:tcW w:type="dxa" w:w="1806"/>
          </w:tcPr>
          <w:p>
            <w:r>
              <w:t>Merged</w:t>
            </w:r>
          </w:p>
        </w:tc>
      </w:tr>
      <w:tr>
        <w:tc>
          <w:tcPr>
            <w:tcW w:type="dxa" w:w="1806"/>
          </w:tcPr>
          <w:p>
            <w:r>
              <w:t>Keras and PyTorch parser tests translated to Python</w:t>
            </w:r>
          </w:p>
        </w:tc>
        <w:tc>
          <w:tcPr>
            <w:tcW w:type="dxa" w:w="1806"/>
          </w:tcPr>
          <w:p>
            <w:r>
              <w:t>#22799</w:t>
            </w:r>
          </w:p>
        </w:tc>
        <w:tc>
          <w:tcPr>
            <w:tcW w:type="dxa" w:w="1806"/>
          </w:tcPr>
          <w:p>
            <w:r>
              <w:t>Python-based parser test path replacing compiled C++ test wrappers for parsers already implemented around Python dependencies</w:t>
            </w:r>
          </w:p>
        </w:tc>
        <w:tc>
          <w:tcPr>
            <w:tcW w:type="dxa" w:w="1806"/>
          </w:tcPr>
          <w:p>
            <w:r>
              <w:t>Keras and PyTorch regression paths; repository CI</w:t>
            </w:r>
          </w:p>
        </w:tc>
        <w:tc>
          <w:tcPr>
            <w:tcW w:type="dxa" w:w="1806"/>
          </w:tcPr>
          <w:p>
            <w:r>
              <w:t>Merged</w:t>
            </w:r>
          </w:p>
        </w:tc>
      </w:tr>
    </w:tbl>
    <w:p>
      <w:pPr/>
      <w:r>
        <w:t>This matrix is intended as a traceability index rather than an additional contribution summary. Each row connects a Week 9 engineering claim to the merged pull request, the principal source-level evidence, and the validation path used to protect that behavior.</w:t>
      </w:r>
    </w:p>
    <w:p>
      <w:pPr>
        <w:pStyle w:val="Heading1"/>
        <w:keepNext/>
      </w:pPr>
      <w:r>
        <w:t>Appendix B — Quantitative Summary</w:t>
      </w:r>
    </w:p>
    <w:tbl>
      <w:tblPr>
        <w:tblStyle w:val="TableGrid"/>
        <w:tblW w:type="auto" w:w="0"/>
        <w:jc w:val="center"/>
        <w:tblLook w:firstColumn="1" w:firstRow="1" w:lastColumn="0" w:lastRow="0" w:noHBand="0" w:noVBand="1" w:val="04A0"/>
      </w:tblPr>
      <w:tblGrid>
        <w:gridCol w:w="4514"/>
        <w:gridCol w:w="4514"/>
      </w:tblGrid>
      <w:tr>
        <w:tc>
          <w:tcPr>
            <w:tcW w:type="dxa" w:w="4514"/>
          </w:tcPr>
          <w:p>
            <w:r>
              <w:rPr>
                <w:b/>
              </w:rPr>
              <w:t>Metric</w:t>
            </w:r>
          </w:p>
        </w:tc>
        <w:tc>
          <w:tcPr>
            <w:tcW w:type="dxa" w:w="4514"/>
          </w:tcPr>
          <w:p>
            <w:r>
              <w:rPr>
                <w:b/>
              </w:rPr>
              <w:t>Week 9 Result</w:t>
            </w:r>
          </w:p>
        </w:tc>
      </w:tr>
      <w:tr>
        <w:tc>
          <w:tcPr>
            <w:tcW w:type="dxa" w:w="4514"/>
            <w:vAlign w:val="center"/>
          </w:tcPr>
          <w:p>
            <w:r>
              <w:t>Merged pull requests</w:t>
            </w:r>
          </w:p>
        </w:tc>
        <w:tc>
          <w:tcPr>
            <w:tcW w:type="dxa" w:w="4514"/>
            <w:vAlign w:val="center"/>
          </w:tcPr>
          <w:p>
            <w:r>
              <w:t>4</w:t>
            </w:r>
          </w:p>
        </w:tc>
      </w:tr>
      <w:tr>
        <w:tc>
          <w:tcPr>
            <w:tcW w:type="dxa" w:w="4514"/>
            <w:vAlign w:val="center"/>
          </w:tcPr>
          <w:p>
            <w:r>
              <w:t>PR #22862 commits shown</w:t>
            </w:r>
          </w:p>
        </w:tc>
        <w:tc>
          <w:tcPr>
            <w:tcW w:type="dxa" w:w="4514"/>
            <w:vAlign w:val="center"/>
          </w:tcPr>
          <w:p>
            <w:r>
              <w:t>6</w:t>
            </w:r>
          </w:p>
        </w:tc>
      </w:tr>
      <w:tr>
        <w:tc>
          <w:tcPr>
            <w:tcW w:type="dxa" w:w="4514"/>
            <w:vAlign w:val="center"/>
          </w:tcPr>
          <w:p>
            <w:r>
              <w:t>PR #22920 commits shown</w:t>
            </w:r>
          </w:p>
        </w:tc>
        <w:tc>
          <w:tcPr>
            <w:tcW w:type="dxa" w:w="4514"/>
            <w:vAlign w:val="center"/>
          </w:tcPr>
          <w:p>
            <w:r>
              <w:t>1</w:t>
            </w:r>
          </w:p>
        </w:tc>
      </w:tr>
      <w:tr>
        <w:tc>
          <w:tcPr>
            <w:tcW w:type="dxa" w:w="4514"/>
            <w:vAlign w:val="center"/>
          </w:tcPr>
          <w:p>
            <w:r>
              <w:t>Local compile/pass checks</w:t>
            </w:r>
          </w:p>
        </w:tc>
        <w:tc>
          <w:tcPr>
            <w:tcW w:type="dxa" w:w="4514"/>
            <w:vAlign w:val="center"/>
          </w:tcPr>
          <w:p>
            <w:r>
              <w:t>103</w:t>
            </w:r>
          </w:p>
        </w:tc>
      </w:tr>
      <w:tr>
        <w:tc>
          <w:tcPr>
            <w:tcW w:type="dxa" w:w="4514"/>
            <w:vAlign w:val="center"/>
          </w:tcPr>
          <w:p>
            <w:r>
              <w:t>Targeted/local SOFIE tests</w:t>
            </w:r>
          </w:p>
        </w:tc>
        <w:tc>
          <w:tcPr>
            <w:tcW w:type="dxa" w:w="4514"/>
            <w:vAlign w:val="center"/>
          </w:tcPr>
          <w:p>
            <w:r>
              <w:t>154 passed</w:t>
            </w:r>
          </w:p>
        </w:tc>
      </w:tr>
      <w:tr>
        <w:tc>
          <w:tcPr>
            <w:tcW w:type="dxa" w:w="4514"/>
            <w:vAlign w:val="center"/>
          </w:tcPr>
          <w:p>
            <w:r>
              <w:t>GitHub / ROOT CI</w:t>
            </w:r>
          </w:p>
        </w:tc>
        <w:tc>
          <w:tcPr>
            <w:tcW w:type="dxa" w:w="4514"/>
            <w:vAlign w:val="center"/>
          </w:tcPr>
          <w:p>
            <w:r>
              <w:t>3,875 tests passed</w:t>
            </w:r>
          </w:p>
        </w:tc>
      </w:tr>
      <w:tr>
        <w:tc>
          <w:tcPr>
            <w:tcW w:type="dxa" w:w="4514"/>
            <w:vAlign w:val="center"/>
          </w:tcPr>
          <w:p>
            <w:r>
              <w:t>Keras tests</w:t>
            </w:r>
          </w:p>
        </w:tc>
        <w:tc>
          <w:tcPr>
            <w:tcW w:type="dxa" w:w="4514"/>
            <w:vAlign w:val="center"/>
          </w:tcPr>
          <w:p>
            <w:r>
              <w:t>Passed</w:t>
            </w:r>
          </w:p>
        </w:tc>
      </w:tr>
      <w:tr>
        <w:tc>
          <w:tcPr>
            <w:tcW w:type="dxa" w:w="4514"/>
            <w:vAlign w:val="center"/>
          </w:tcPr>
          <w:p>
            <w:r>
              <w:t>PyTorch tests</w:t>
            </w:r>
          </w:p>
        </w:tc>
        <w:tc>
          <w:tcPr>
            <w:tcW w:type="dxa" w:w="4514"/>
            <w:vAlign w:val="center"/>
          </w:tcPr>
          <w:p>
            <w:r>
              <w:t>Passed</w:t>
            </w:r>
          </w:p>
        </w:tc>
      </w:tr>
      <w:tr>
        <w:tc>
          <w:tcPr>
            <w:tcW w:type="dxa" w:w="4514"/>
          </w:tcPr>
          <w:p>
            <w:r>
              <w:t>PR #22799 commits shown</w:t>
            </w:r>
          </w:p>
        </w:tc>
        <w:tc>
          <w:tcPr>
            <w:tcW w:type="dxa" w:w="4514"/>
          </w:tcPr>
          <w:p>
            <w:r>
              <w:t>1</w:t>
            </w:r>
          </w:p>
        </w:tc>
      </w:tr>
      <w:tr>
        <w:tc>
          <w:tcPr>
            <w:tcW w:type="dxa" w:w="4514"/>
          </w:tcPr>
          <w:p>
            <w:r>
              <w:t>PR #22758 commits shown</w:t>
            </w:r>
          </w:p>
        </w:tc>
        <w:tc>
          <w:tcPr>
            <w:tcW w:type="dxa" w:w="4514"/>
          </w:tcPr>
          <w:p>
            <w:r>
              <w:t>1</w:t>
            </w:r>
          </w:p>
        </w:tc>
      </w:tr>
    </w:tbl>
    <w:p>
      <w:r>
        <w:t>The counts above record distinct validation scopes from Week 9. All four Week 9 pull requests documented in this notebook were merged. In particular, the 103 compile/pass checks and the 154-test targeted/local SOFIE suite are separate measurements and are intentionally not summed. The 3,875-test result belongs to ROOT repository CI rather than the local test total.</w:t>
      </w:r>
    </w:p>
    <w:p>
      <w:r>
        <w:t>End of Week 9 Engineering Notebook</w:t>
      </w:r>
    </w:p>
    <w:sectPr w:rsidR="00FC693F" w:rsidRPr="0006063C" w:rsidSect="00034616">
      <w:pgSz w:w="11909" w:h="16834"/>
      <w:pgMar w:top="936" w:right="1440" w:bottom="93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val="0"/>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00"/>
      <w:ind w:left="259"/>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