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8단계. 기술 스택(개발 스펙) 추천</w:t>
      </w:r>
    </w:p>
    <w:p>
      <w:r>
        <w:t xml:space="preserve">🔖 참고: 프로젝트 메모리 기준 "실제 개발 착수는 다른 폴더로 이동해서 진행할 예정"이라 여기 추천은 그 시점에 실제로 쓸 스택 후보.</w:t>
      </w:r>
    </w:p>
    <w:p>
      <w:pPr>
        <w:pStyle w:val="Heading2"/>
      </w:pPr>
      <w:r>
        <w:t xml:space="preserve">① PRD 기반 스택 추천받기</w:t>
      </w:r>
    </w:p>
    <w:tbl>
      <w:tblPr>
        <w:tblStyle w:val="TableGrid"/>
        <w:tblW w:w="0" w:type="auto"/>
        <w:tblLook w:val="04A0"/>
      </w:tblPr>
      <w:tblGrid>
        <w:gridCol w:w="2000"/>
        <w:gridCol w:w="2000"/>
        <w:gridCol w:w="2000"/>
        <w:gridCol w:w="2000"/>
      </w:tblGrid>
      <w:tr>
        <w:tc>
          <w:tcPr>
            <w:tcW w:w="2000" w:type="dxa"/>
          </w:tcPr>
          <w:p>
            <w:r>
              <w:t xml:space="preserve">층(Layer)</w:t>
            </w:r>
          </w:p>
        </w:tc>
        <w:tc>
          <w:tcPr>
            <w:tcW w:w="2000" w:type="dxa"/>
          </w:tcPr>
          <w:p>
            <w:r>
              <w:t xml:space="preserve">후보 1</w:t>
            </w:r>
          </w:p>
        </w:tc>
        <w:tc>
          <w:tcPr>
            <w:tcW w:w="2000" w:type="dxa"/>
          </w:tcPr>
          <w:p>
            <w:r>
              <w:t xml:space="preserve">후보 2</w:t>
            </w:r>
          </w:p>
        </w:tc>
        <w:tc>
          <w:tcPr>
            <w:tcW w:w="2000" w:type="dxa"/>
          </w:tcPr>
          <w:p>
            <w:r>
              <w:t xml:space="preserve">선택 이유</w:t>
            </w:r>
          </w:p>
        </w:tc>
      </w:tr>
      <w:tr>
        <w:tc>
          <w:tcPr>
            <w:tcW w:w="2000" w:type="dxa"/>
          </w:tcPr>
          <w:p>
            <w:r>
              <w:t xml:space="preserve">프론트엔드</w:t>
            </w:r>
          </w:p>
        </w:tc>
        <w:tc>
          <w:tcPr>
            <w:tcW w:w="2000" w:type="dxa"/>
          </w:tcPr>
          <w:p>
            <w:r>
              <w:t xml:space="preserve">지금의 정적 HTML + Tailwind CDN 유지, Supabase JS SDK로 직접 연동</w:t>
            </w:r>
          </w:p>
        </w:tc>
        <w:tc>
          <w:tcPr>
            <w:tcW w:w="2000" w:type="dxa"/>
          </w:tcPr>
          <w:p>
            <w:r>
              <w:t xml:space="preserve">Next.js(React) — Vercel 배포, AI 코드생성 도구와 호환성 높음</w:t>
            </w:r>
          </w:p>
        </w:tc>
        <w:tc>
          <w:tcPr>
            <w:tcW w:w="2000" w:type="dxa"/>
          </w:tcPr>
          <w:p>
            <w:r>
              <w:t xml:space="preserve">1인 비개발자·바이브코딩 학습자에게는 지금 이미 손에 익은 패턴(정적 HTML)을 유지한 채 데이터만 실제 DB로 바꾸는 게 학습 부담이 가장 낮음</w:t>
            </w:r>
          </w:p>
        </w:tc>
      </w:tr>
      <w:tr>
        <w:tc>
          <w:tcPr>
            <w:tcW w:w="2000" w:type="dxa"/>
          </w:tcPr>
          <w:p>
            <w:r>
              <w:t xml:space="preserve">백엔드/DB</w:t>
            </w:r>
          </w:p>
        </w:tc>
        <w:tc>
          <w:tcPr>
            <w:tcW w:w="2000" w:type="dxa"/>
          </w:tcPr>
          <w:p>
            <w:r>
              <w:t xml:space="preserve">Supabase</w:t>
            </w:r>
          </w:p>
        </w:tc>
        <w:tc>
          <w:tcPr>
            <w:tcW w:w="2000" w:type="dxa"/>
          </w:tcPr>
          <w:p>
            <w:r>
              <w:t xml:space="preserve">Firebase</w:t>
            </w:r>
          </w:p>
        </w:tc>
        <w:tc>
          <w:tcPr>
            <w:tcW w:w="2000" w:type="dxa"/>
          </w:tcPr>
          <w:p>
            <w:r>
              <w:t xml:space="preserve">Supabase는 Postgres 기반이라 6단계에서 이미 설계한 관계형 테이블 구조(households→meals→meal_participants)를 그대로 옮기기 좋고, 인증·API가 통합돼 있어 백엔드 코드를 따로 안 짜도 됨</w:t>
            </w:r>
          </w:p>
        </w:tc>
      </w:tr>
      <w:tr>
        <w:tc>
          <w:tcPr>
            <w:tcW w:w="2000" w:type="dxa"/>
          </w:tcPr>
          <w:p>
            <w:r>
              <w:t xml:space="preserve">배포</w:t>
            </w:r>
          </w:p>
        </w:tc>
        <w:tc>
          <w:tcPr>
            <w:tcW w:w="2000" w:type="dxa"/>
          </w:tcPr>
          <w:p>
            <w:r>
              <w:t xml:space="preserve">Vercel (프론트) + Supabase 자체 호스팅(DB)</w:t>
            </w:r>
          </w:p>
        </w:tc>
        <w:tc>
          <w:tcPr>
            <w:tcW w:w="2000" w:type="dxa"/>
          </w:tcPr>
          <w:p>
            <w:r>
              <w:t xml:space="preserve">Netlify</w:t>
            </w:r>
          </w:p>
        </w:tc>
        <w:tc>
          <w:tcPr>
            <w:tcW w:w="2000" w:type="dxa"/>
          </w:tcPr>
          <w:p>
            <w:r>
              <w:t xml:space="preserve">Vercel은 정적 HTML도, 나중에 Next.js로 전환해도 그대로 쓸 수 있어 배포 방식을 두 번 안 바꿔도 됨</w:t>
            </w:r>
          </w:p>
        </w:tc>
      </w:tr>
    </w:tbl>
    <w:p>
      <w:pPr>
        <w:pStyle w:val="Heading2"/>
      </w:pPr>
      <w:r>
        <w:t xml:space="preserve">② 경량/확장 버전 비교표로 다듬기</w:t>
      </w:r>
    </w:p>
    <w:tbl>
      <w:tblPr>
        <w:tblStyle w:val="TableGrid"/>
        <w:tblW w:w="0" w:type="auto"/>
        <w:tblLook w:val="04A0"/>
      </w:tblPr>
      <w:tblGrid>
        <w:gridCol w:w="2000"/>
        <w:gridCol w:w="2000"/>
        <w:gridCol w:w="2000"/>
        <w:gridCol w:w="2000"/>
      </w:tblGrid>
      <w:tr>
        <w:tc>
          <w:tcPr>
            <w:tcW w:w="2000" w:type="dxa"/>
          </w:tcPr>
          <w:p>
            <w:r>
              <w:t xml:space="preserve">층(Layer)</w:t>
            </w:r>
          </w:p>
        </w:tc>
        <w:tc>
          <w:tcPr>
            <w:tcW w:w="2000" w:type="dxa"/>
          </w:tcPr>
          <w:p>
            <w:r>
              <w:t xml:space="preserve">경량 버전</w:t>
            </w:r>
          </w:p>
        </w:tc>
        <w:tc>
          <w:tcPr>
            <w:tcW w:w="2000" w:type="dxa"/>
          </w:tcPr>
          <w:p>
            <w:r>
              <w:t xml:space="preserve">확장 버전</w:t>
            </w:r>
          </w:p>
        </w:tc>
        <w:tc>
          <w:tcPr>
            <w:tcW w:w="2000" w:type="dxa"/>
          </w:tcPr>
          <w:p>
            <w:r>
              <w:t xml:space="preserve">우리 프로젝트에 맞는 선택</w:t>
            </w:r>
          </w:p>
        </w:tc>
      </w:tr>
      <w:tr>
        <w:tc>
          <w:tcPr>
            <w:tcW w:w="2000" w:type="dxa"/>
          </w:tcPr>
          <w:p>
            <w:r>
              <w:t xml:space="preserve">프론트엔드</w:t>
            </w:r>
          </w:p>
        </w:tc>
        <w:tc>
          <w:tcPr>
            <w:tcW w:w="2000" w:type="dxa"/>
          </w:tcPr>
          <w:p>
            <w:r>
              <w:t xml:space="preserve">지금의 정적 HTML 35개 파일을 그대로 두고, `localStorage` 호출부만 Supabase JS SDK 호출로 하나씩 교체</w:t>
            </w:r>
          </w:p>
        </w:tc>
        <w:tc>
          <w:tcPr>
            <w:tcW w:w="2000" w:type="dxa"/>
          </w:tcPr>
          <w:p>
            <w:r>
              <w:t xml:space="preserve">Next.js로 전면 재작성, 컴포넌트 재사용·상태관리 도입</w:t>
            </w:r>
          </w:p>
        </w:tc>
        <w:tc>
          <w:tcPr>
            <w:tcW w:w="2000" w:type="dxa"/>
          </w:tcPr>
          <w:p>
            <w:r>
              <w:rPr>
                <w:b/>
              </w:rPr>
              <w:t xml:space="preserve">경량</w:t>
            </w:r>
            <w:r>
              <w:t xml:space="preserve"> — 이미 완성된 화면·흐름을 그대로 살릴 수 있고, 프레임워크 학습이라는 새 장벽이 안 생김</w:t>
            </w:r>
          </w:p>
        </w:tc>
      </w:tr>
      <w:tr>
        <w:tc>
          <w:tcPr>
            <w:tcW w:w="2000" w:type="dxa"/>
          </w:tcPr>
          <w:p>
            <w:r>
              <w:t xml:space="preserve">백엔드/DB</w:t>
            </w:r>
          </w:p>
        </w:tc>
        <w:tc>
          <w:tcPr>
            <w:tcW w:w="2000" w:type="dxa"/>
          </w:tcPr>
          <w:p>
            <w:r>
              <w:t xml:space="preserve">Supabase 테이블 + Row Level Security만 적용</w:t>
            </w:r>
          </w:p>
        </w:tc>
        <w:tc>
          <w:tcPr>
            <w:tcW w:w="2000" w:type="dxa"/>
          </w:tcPr>
          <w:p>
            <w:r>
              <w:t xml:space="preserve">Supabase + Edge Functions로 복잡한 비즈니스 로직(반복 일정 자동 생성 등) 서버 처리</w:t>
            </w:r>
          </w:p>
        </w:tc>
        <w:tc>
          <w:tcPr>
            <w:tcW w:w="2000" w:type="dxa"/>
          </w:tcPr>
          <w:p>
            <w:r>
              <w:rPr>
                <w:b/>
              </w:rPr>
              <w:t xml:space="preserve">경량 먼저</w:t>
            </w:r>
            <w:r>
              <w:t xml:space="preserve"> — 반복 일정 자동 생성 같은 로직은 지금처럼 클라이언트에서 처리해도 충분히 검증 가능</w:t>
            </w:r>
          </w:p>
        </w:tc>
      </w:tr>
      <w:tr>
        <w:tc>
          <w:tcPr>
            <w:tcW w:w="2000" w:type="dxa"/>
          </w:tcPr>
          <w:p>
            <w:r>
              <w:t xml:space="preserve">배포</w:t>
            </w:r>
          </w:p>
        </w:tc>
        <w:tc>
          <w:tcPr>
            <w:tcW w:w="2000" w:type="dxa"/>
          </w:tcPr>
          <w:p>
            <w:r>
              <w:t xml:space="preserve">Vercel 무료 플랜</w:t>
            </w:r>
          </w:p>
        </w:tc>
        <w:tc>
          <w:tcPr>
            <w:tcW w:w="2000" w:type="dxa"/>
          </w:tcPr>
          <w:p>
            <w:r>
              <w:t xml:space="preserve">Vercel Pro + 커스텀 도메인</w:t>
            </w:r>
          </w:p>
        </w:tc>
        <w:tc>
          <w:tcPr>
            <w:tcW w:w="2000" w:type="dxa"/>
          </w:tcPr>
          <w:p>
            <w:r>
              <w:rPr>
                <w:b/>
              </w:rPr>
              <w:t xml:space="preserve">경량</w:t>
            </w:r>
            <w:r>
              <w:t xml:space="preserve"> — 실사용 검증 전까지는 무료 플랜으로 충분</w:t>
            </w:r>
          </w:p>
        </w:tc>
      </w:tr>
    </w:tbl>
    <w:p>
      <w:r>
        <w:rPr>
          <w:b/>
        </w:rPr>
        <w:t xml:space="preserve">최종 선택 이유 (페르소나·프로젝트 상황과 연결)</w:t>
      </w:r>
      <w:r>
        <w:t xml:space="preserve">: 페르소나(이정숙)의 기술 친숙도가 "복잡한 설정은 부담스러워함"이었고, 이건 사실 개발자인 나(사용자)에게도 그대로 적용됨 — 프레임워크를 새로 배우는 것보다 이미 동작 검증된 정적 목업을 그대로 살려 데이터 레이어만 바꾸는 경량 버전이, 지금 단계(실사용 검증 전)에 가장 위험이 적은 선택이다. 확장 버전(Next.js)은 실사용자가 늘어나 유지보수·상태관리 부담이 실제로 느껴질 때 넘어가도 늦지 않음.</w:t>
      </w:r>
    </w:p>
    <w:p>
      <w:pPr>
        <w:pStyle w:val="Heading2"/>
      </w:pPr>
      <w:r>
        <w:t xml:space="preserve">③ 검증 — PRD·페르소나와 대조하기</w:t>
      </w:r>
    </w:p>
    <w:tbl>
      <w:tblPr>
        <w:tblStyle w:val="TableGrid"/>
        <w:tblW w:w="0" w:type="auto"/>
        <w:tblLook w:val="04A0"/>
      </w:tblPr>
      <w:tblGrid>
        <w:gridCol w:w="2000"/>
        <w:gridCol w:w="2000"/>
        <w:gridCol w:w="2000"/>
      </w:tblGrid>
      <w:tr>
        <w:tc>
          <w:tcPr>
            <w:tcW w:w="2000" w:type="dxa"/>
          </w:tcPr>
          <w:p>
            <w:r>
              <w:t xml:space="preserve">확인 항목 (비기능 요구사항 / 페르소나 기술 친숙도)</w:t>
            </w:r>
          </w:p>
        </w:tc>
        <w:tc>
          <w:tcPr>
            <w:tcW w:w="2000" w:type="dxa"/>
          </w:tcPr>
          <w:p>
            <w:r>
              <w:t xml:space="preserve">추천 스택과 일치 여부 (O/X)</w:t>
            </w:r>
          </w:p>
        </w:tc>
        <w:tc>
          <w:tcPr>
            <w:tcW w:w="2000" w:type="dxa"/>
          </w:tcPr>
          <w:p>
            <w:r>
              <w:t xml:space="preserve">조정 필요 사항</w:t>
            </w:r>
          </w:p>
        </w:tc>
      </w:tr>
      <w:tr>
        <w:tc>
          <w:tcPr>
            <w:tcW w:w="2000" w:type="dxa"/>
          </w:tcPr>
          <w:p>
            <w:r>
              <w:t xml:space="preserve">참여자 응답은 최대 1~2번 탭 (§0.5 철학)</w:t>
            </w:r>
          </w:p>
        </w:tc>
        <w:tc>
          <w:tcPr>
            <w:tcW w:w="2000" w:type="dxa"/>
          </w:tcPr>
          <w:p>
            <w:r>
              <w:t xml:space="preserve">O</w:t>
            </w:r>
          </w:p>
        </w:tc>
        <w:tc>
          <w:tcPr>
            <w:tcW w:w="2000" w:type="dxa"/>
          </w:tcPr>
          <w:p>
            <w:r>
              <w:t xml:space="preserve">정적 HTML+Supabase SDK 조합이라 응답 화면 자체의 탭 수는 스택과 무관하게 그대로 유지됨</w:t>
            </w:r>
          </w:p>
        </w:tc>
      </w:tr>
      <w:tr>
        <w:tc>
          <w:tcPr>
            <w:tcW w:w="2000" w:type="dxa"/>
          </w:tcPr>
          <w:p>
            <w:r>
              <w:t xml:space="preserve">1인 1링크 토큰은 추측 불가능해야 함(보안)</w:t>
            </w:r>
          </w:p>
        </w:tc>
        <w:tc>
          <w:tcPr>
            <w:tcW w:w="2000" w:type="dxa"/>
          </w:tcPr>
          <w:p>
            <w:r>
              <w:t xml:space="preserve">O</w:t>
            </w:r>
          </w:p>
        </w:tc>
        <w:tc>
          <w:tcPr>
            <w:tcW w:w="2000" w:type="dxa"/>
          </w:tcPr>
          <w:p>
            <w:r>
              <w:t xml:space="preserve">Supabase RLS + UUID 기반 링크로 충족 가능.단, 실제 토큰 발급 로직은 아직 설계 전 — 개발 착수 시 첫 작업으로 필요</w:t>
            </w:r>
          </w:p>
        </w:tc>
      </w:tr>
      <w:tr>
        <w:tc>
          <w:tcPr>
            <w:tcW w:w="2000" w:type="dxa"/>
          </w:tcPr>
          <w:p>
            <w:r>
              <w:t xml:space="preserve">가족 간 금전(정산)은 실제 송금 연동 없음</w:t>
            </w:r>
          </w:p>
        </w:tc>
        <w:tc>
          <w:tcPr>
            <w:tcW w:w="2000" w:type="dxa"/>
          </w:tcPr>
          <w:p>
            <w:r>
              <w:t xml:space="preserve">O</w:t>
            </w:r>
          </w:p>
        </w:tc>
        <w:tc>
          <w:tcPr>
            <w:tcW w:w="2000" w:type="dxa"/>
          </w:tcPr>
          <w:p>
            <w:r>
              <w:t xml:space="preserve">정산은 계산·기록까지만, 결제 게이트웨이 연동 자체가 없으므로 스택 선택과 무관</w:t>
            </w:r>
          </w:p>
        </w:tc>
      </w:tr>
      <w:tr>
        <w:tc>
          <w:tcPr>
            <w:tcW w:w="2000" w:type="dxa"/>
          </w:tcPr>
          <w:p>
            <w:r>
              <w:t xml:space="preserve">페르소나 기술 친숙도(복잡한 설정 회피)</w:t>
            </w:r>
          </w:p>
        </w:tc>
        <w:tc>
          <w:tcPr>
            <w:tcW w:w="2000" w:type="dxa"/>
          </w:tcPr>
          <w:p>
            <w:r>
              <w:t xml:space="preserve">O</w:t>
            </w:r>
          </w:p>
        </w:tc>
        <w:tc>
          <w:tcPr>
            <w:tcW w:w="2000" w:type="dxa"/>
          </w:tcPr>
          <w:p>
            <w:r>
              <w:t xml:space="preserve">경량 버전 선택 이유와 정확히 일치 — 개발자 본인도 같은 이유로 경량을 택함</w:t>
            </w:r>
          </w:p>
        </w:tc>
      </w:tr>
    </w:tbl>
    <w:sectPr>
      <w:pgSz w:w="16838" w:h="11906" w:orient="landscape"/>
      <w:pgMar w:top="720" w:right="720" w:bottom="720" w:left="720"/>
    </w:sectPr>
  </w:body>
</w:document>
</file>

<file path=word/styles.xml><?xml version="1.0" encoding="utf-8"?>
<w:styles xmlns:w="http://schemas.openxmlformats.org/wordprocessingml/2006/main">
  <w:docDefaults>
    <w:rPrDefault>
      <w:rPr>
        <w:rFonts w:ascii="Malgun Gothic" w:eastAsia="맑은 고딕" w:hAnsi="Malgun Gothic" w:cs="Malgun Gothic"/>
        <w:sz w:val="20"/>
      </w:rPr>
    </w:rPrDefault>
  </w:docDefaults>
  <w:style w:type="paragraph" w:default="1" w:styleId="Normal">
    <w:name w:val="Normal"/>
    <w:pPr>
      <w:spacing w:after="120" w:line="276" w:lineRule="auto"/>
    </w:pPr>
  </w:style>
  <w:style w:type="paragraph" w:styleId="Heading1">
    <w:name w:val="heading 1"/>
    <w:basedOn w:val="Normal"/>
    <w:pPr>
      <w:spacing w:before="360" w:after="200"/>
    </w:pPr>
    <w:rPr>
      <w:rFonts w:ascii="Malgun Gothic" w:eastAsia="맑은 고딕" w:hAnsi="Malgun Gothic"/>
      <w:b/>
      <w:sz w:val="32"/>
    </w:rPr>
  </w:style>
  <w:style w:type="paragraph" w:styleId="Heading2">
    <w:name w:val="heading 2"/>
    <w:basedOn w:val="Normal"/>
    <w:pPr>
      <w:spacing w:before="280" w:after="160"/>
    </w:pPr>
    <w:rPr>
      <w:rFonts w:ascii="Malgun Gothic" w:eastAsia="맑은 고딕" w:hAnsi="Malgun Gothic"/>
      <w:b/>
      <w:sz w:val="26"/>
    </w:rPr>
  </w:style>
  <w:style w:type="paragraph" w:styleId="Heading3">
    <w:name w:val="heading 3"/>
    <w:basedOn w:val="Normal"/>
    <w:pPr>
      <w:spacing w:before="200" w:after="120"/>
    </w:pPr>
    <w:rPr>
      <w:rFonts w:ascii="Malgun Gothic" w:eastAsia="맑은 고딕" w:hAnsi="Malgun Gothic"/>
      <w:b/>
      <w:sz w:val="22"/>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