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jc w:val="center"/>
      </w:pPr>
      <w:r>
        <w:rPr>
          <w:b/>
          <w:color w:val="1F4E79"/>
          <w:sz w:val="52"/>
        </w:rPr>
        <w:t>ESPECIFICACIÓN TÉCNICA Y AUDITORÍA DE PRODUCTO</w:t>
      </w:r>
    </w:p>
    <w:p>
      <w:pPr>
        <w:spacing w:after="3600"/>
        <w:jc w:val="center"/>
      </w:pPr>
      <w:r>
        <w:rPr>
          <w:color w:val="7F7F7F"/>
          <w:sz w:val="28"/>
        </w:rPr>
        <w:t>SaaS Contable Inteligente Integrado con Inferencia AI Resiliente y Seguridad Multitenant</w:t>
      </w:r>
    </w:p>
    <w:p>
      <w:pPr>
        <w:spacing w:after="480"/>
        <w:jc w:val="center"/>
      </w:pPr>
      <w:r>
        <w:rPr>
          <w:i/>
          <w:color w:val="595959"/>
          <w:sz w:val="22"/>
        </w:rPr>
        <w:t>Proyecto: FinanzIA Chile</w:t>
        <w:br/>
        <w:t>Clasificación: Confidencial Enterprise-Grade</w:t>
        <w:br/>
        <w:t>Fecha de Auditoría: Mayo 2026</w:t>
        <w:br/>
        <w:t>Estado de Certificación: APROBADO PARA PRODUCCIÓN</w:t>
      </w:r>
    </w:p>
    <w:p>
      <w:r>
        <w:br w:type="page"/>
      </w:r>
    </w:p>
    <w:p>
      <w:pPr>
        <w:pStyle w:val="Heading1"/>
        <w:keepNext/>
        <w:spacing w:before="240" w:after="120"/>
      </w:pPr>
      <w:r>
        <w:rPr>
          <w:rFonts w:ascii="Segoe UI" w:hAnsi="Segoe UI"/>
          <w:b/>
          <w:color w:val="1F4E79"/>
          <w:sz w:val="36"/>
        </w:rPr>
        <w:t>ÍNDICE GENERAL DEL DOCUMENTO</w:t>
      </w:r>
    </w:p>
    <w:p>
      <w:pPr>
        <w:spacing w:line="276" w:lineRule="auto" w:after="120"/>
      </w:pPr>
      <w:r>
        <w:rPr>
          <w:rFonts w:ascii="Segoe UI" w:hAnsi="Segoe UI"/>
          <w:sz w:val="22"/>
        </w:rPr>
        <w:t>Este documento técnico ha sido generado de manera oficial para soporte, revisiones de cumplimiento de normativas ISO, incorporación de desarrolladores y validación de seguridad de datos.</w:t>
      </w:r>
    </w:p>
    <w:p>
      <w:pPr>
        <w:spacing w:line="276" w:lineRule="auto" w:after="60"/>
        <w:ind w:left="360"/>
      </w:pPr>
      <w:r>
        <w:rPr>
          <w:rFonts w:ascii="Segoe UI" w:hAnsi="Segoe UI"/>
          <w:sz w:val="22"/>
        </w:rPr>
        <w:t>1. Resumen Ejecutivo (Propósito y Stack Tecnológico)</w:t>
      </w:r>
    </w:p>
    <w:p>
      <w:pPr>
        <w:spacing w:line="276" w:lineRule="auto" w:after="60"/>
        <w:ind w:left="360"/>
      </w:pPr>
      <w:r>
        <w:rPr>
          <w:rFonts w:ascii="Segoe UI" w:hAnsi="Segoe UI"/>
          <w:sz w:val="22"/>
        </w:rPr>
        <w:t>2. Arquitectura de Sistemas Completa (Logical Flows)</w:t>
      </w:r>
    </w:p>
    <w:p>
      <w:pPr>
        <w:spacing w:line="276" w:lineRule="auto" w:after="60"/>
        <w:ind w:left="360"/>
      </w:pPr>
      <w:r>
        <w:rPr>
          <w:rFonts w:ascii="Segoe UI" w:hAnsi="Segoe UI"/>
          <w:sz w:val="22"/>
        </w:rPr>
        <w:t>3. Estructura y Componentes del Frontend (React &amp; Next.js)</w:t>
      </w:r>
    </w:p>
    <w:p>
      <w:pPr>
        <w:spacing w:line="276" w:lineRule="auto" w:after="60"/>
        <w:ind w:left="360"/>
      </w:pPr>
      <w:r>
        <w:rPr>
          <w:rFonts w:ascii="Segoe UI" w:hAnsi="Segoe UI"/>
          <w:sz w:val="22"/>
        </w:rPr>
        <w:t>4. Servicios y Especificación de APIs del Backend (Next.js &amp; Zod)</w:t>
      </w:r>
    </w:p>
    <w:p>
      <w:pPr>
        <w:spacing w:line="276" w:lineRule="auto" w:after="60"/>
        <w:ind w:left="360"/>
      </w:pPr>
      <w:r>
        <w:rPr>
          <w:rFonts w:ascii="Segoe UI" w:hAnsi="Segoe UI"/>
          <w:sz w:val="22"/>
        </w:rPr>
        <w:t>5. Motor y Orquestación del Sistema de Inteligencia Artificial (AIOps)</w:t>
      </w:r>
    </w:p>
    <w:p>
      <w:pPr>
        <w:spacing w:line="276" w:lineRule="auto" w:after="60"/>
        <w:ind w:left="360"/>
      </w:pPr>
      <w:r>
        <w:rPr>
          <w:rFonts w:ascii="Segoe UI" w:hAnsi="Segoe UI"/>
          <w:sz w:val="22"/>
        </w:rPr>
        <w:t>6. Modelo Relacional e Integridad de la Base de Datos (PostgreSQL)</w:t>
      </w:r>
    </w:p>
    <w:p>
      <w:pPr>
        <w:spacing w:line="276" w:lineRule="auto" w:after="60"/>
        <w:ind w:left="360"/>
      </w:pPr>
      <w:r>
        <w:rPr>
          <w:rFonts w:ascii="Segoe UI" w:hAnsi="Segoe UI"/>
          <w:sz w:val="22"/>
        </w:rPr>
        <w:t>7. Protocolos de Seguridad y Mitigación de Vulnerabilidades (OWASP)</w:t>
      </w:r>
    </w:p>
    <w:p>
      <w:pPr>
        <w:spacing w:line="276" w:lineRule="auto" w:after="60"/>
        <w:ind w:left="360"/>
      </w:pPr>
      <w:r>
        <w:rPr>
          <w:rFonts w:ascii="Segoe UI" w:hAnsi="Segoe UI"/>
          <w:sz w:val="22"/>
        </w:rPr>
        <w:t>8. Infraestructura Cloud y Operaciones de Despliegue (DevOps)</w:t>
      </w:r>
    </w:p>
    <w:p>
      <w:pPr>
        <w:spacing w:line="276" w:lineRule="auto" w:after="60"/>
        <w:ind w:left="360"/>
      </w:pPr>
      <w:r>
        <w:rPr>
          <w:rFonts w:ascii="Segoe UI" w:hAnsi="Segoe UI"/>
          <w:sz w:val="22"/>
        </w:rPr>
        <w:t>9. Cobertura de la Suite de Pruebas de Regresión Automatizada (QA)</w:t>
      </w:r>
    </w:p>
    <w:p>
      <w:pPr>
        <w:spacing w:line="276" w:lineRule="auto" w:after="60"/>
        <w:ind w:left="360"/>
      </w:pPr>
      <w:r>
        <w:rPr>
          <w:rFonts w:ascii="Segoe UI" w:hAnsi="Segoe UI"/>
          <w:sz w:val="22"/>
        </w:rPr>
        <w:t>10. Sistema de Trazas APM y Observabilidad (Telemetry Logger)</w:t>
      </w:r>
    </w:p>
    <w:p>
      <w:pPr>
        <w:spacing w:line="276" w:lineRule="auto" w:after="60"/>
        <w:ind w:left="360"/>
      </w:pPr>
      <w:r>
        <w:rPr>
          <w:rFonts w:ascii="Segoe UI" w:hAnsi="Segoe UI"/>
          <w:sz w:val="22"/>
        </w:rPr>
        <w:t>11. Matriz Funcional y Clasificación de Módulos (SaaS Matrix)</w:t>
      </w:r>
    </w:p>
    <w:p>
      <w:pPr>
        <w:spacing w:line="276" w:lineRule="auto" w:after="60"/>
        <w:ind w:left="360"/>
      </w:pPr>
      <w:r>
        <w:rPr>
          <w:rFonts w:ascii="Segoe UI" w:hAnsi="Segoe UI"/>
          <w:sz w:val="22"/>
        </w:rPr>
        <w:t>12. Gestión de Deuda Técnica y Análisis de Riesgos Estructurales</w:t>
      </w:r>
    </w:p>
    <w:p>
      <w:pPr>
        <w:spacing w:line="276" w:lineRule="auto" w:after="60"/>
        <w:ind w:left="360"/>
      </w:pPr>
      <w:r>
        <w:rPr>
          <w:rFonts w:ascii="Segoe UI" w:hAnsi="Segoe UI"/>
          <w:sz w:val="22"/>
        </w:rPr>
        <w:t>13. Roadmap Técnico y Estrategia de Escalabilidad a Largo Plazo</w:t>
      </w:r>
    </w:p>
    <w:p>
      <w:pPr>
        <w:spacing w:line="276" w:lineRule="auto" w:after="60"/>
        <w:ind w:left="360"/>
      </w:pPr>
      <w:r>
        <w:rPr>
          <w:rFonts w:ascii="Segoe UI" w:hAnsi="Segoe UI"/>
          <w:sz w:val="22"/>
        </w:rPr>
        <w:t>14. Manual Operacional y Guía de Mantenimiento de Servicios</w:t>
      </w:r>
    </w:p>
    <w:p>
      <w:pPr>
        <w:spacing w:line="276" w:lineRule="auto" w:after="60"/>
        <w:ind w:left="360"/>
      </w:pPr>
      <w:r>
        <w:rPr>
          <w:rFonts w:ascii="Segoe UI" w:hAnsi="Segoe UI"/>
          <w:sz w:val="22"/>
        </w:rPr>
        <w:t>15. Matriz de Cumplimiento de Estándares Enterprise (ISO/IEC)</w:t>
      </w:r>
    </w:p>
    <w:p>
      <w:r>
        <w:br w:type="page"/>
      </w:r>
    </w:p>
    <w:p>
      <w:pPr>
        <w:pStyle w:val="Heading1"/>
        <w:keepNext/>
        <w:spacing w:before="240" w:after="120"/>
      </w:pPr>
      <w:r>
        <w:rPr>
          <w:rFonts w:ascii="Segoe UI" w:hAnsi="Segoe UI"/>
          <w:b/>
          <w:color w:val="1F4E79"/>
          <w:sz w:val="36"/>
        </w:rPr>
        <w:t>1. RESUMEN EJECUTIVO</w:t>
      </w:r>
    </w:p>
    <w:p>
      <w:pPr>
        <w:spacing w:line="276" w:lineRule="auto" w:after="120"/>
      </w:pPr>
      <w:r>
        <w:rPr>
          <w:rFonts w:ascii="Segoe UI" w:hAnsi="Segoe UI"/>
          <w:sz w:val="22"/>
        </w:rPr>
        <w:t>FinanzIA es un ecosistema de software como servicio (SaaS) contable y tributario inteligente diseñado a la medida del mercado de microempresas y PYMES de América Latina, con localización inicial en la República de Chile. La plataforma transforma la forma en que los emprendedores interactúan con su contabilidad e inventario al eliminar el ingreso manual de planillas, reemplazándolo por una interfaz de lenguaje natural empática y de alto rendimiento denominada 'Yoonnie-Bot'.</w:t>
      </w:r>
    </w:p>
    <w:p>
      <w:pPr>
        <w:spacing w:line="276" w:lineRule="auto" w:after="120"/>
      </w:pPr>
      <w:r>
        <w:rPr>
          <w:rFonts w:ascii="Segoe UI" w:hAnsi="Segoe UI"/>
          <w:sz w:val="22"/>
        </w:rPr>
        <w:t>Fortalezas Principales:</w:t>
      </w:r>
    </w:p>
    <w:p>
      <w:pPr>
        <w:spacing w:line="276" w:lineRule="auto" w:after="120"/>
        <w:ind w:left="360"/>
      </w:pPr>
      <w:r>
        <w:rPr>
          <w:rFonts w:ascii="Segoe UI" w:hAnsi="Segoe UI"/>
          <w:sz w:val="22"/>
        </w:rPr>
        <w:t>• Resiliencia total de inferencia de IA gracias al failover dinámico multi-modelo (Groq / Google Gemini).</w:t>
      </w:r>
    </w:p>
    <w:p>
      <w:pPr>
        <w:spacing w:line="276" w:lineRule="auto" w:after="120"/>
        <w:ind w:left="360"/>
      </w:pPr>
      <w:r>
        <w:rPr>
          <w:rFonts w:ascii="Segoe UI" w:hAnsi="Segoe UI"/>
          <w:sz w:val="22"/>
        </w:rPr>
        <w:t>• Costos de cómputo controlados mediante caché criptográfica SHA-256 e inferencia adaptativa ($0.08 USD/MAU).</w:t>
      </w:r>
    </w:p>
    <w:p>
      <w:pPr>
        <w:spacing w:line="276" w:lineRule="auto" w:after="120"/>
        <w:ind w:left="360"/>
      </w:pPr>
      <w:r>
        <w:rPr>
          <w:rFonts w:ascii="Segoe UI" w:hAnsi="Segoe UI"/>
          <w:sz w:val="22"/>
        </w:rPr>
        <w:t>• Aislamiento absoluto de inquilinos mediante políticas de Row Level Security (RLS) en PostgreSQL a nivel kernel.</w:t>
      </w:r>
    </w:p>
    <w:p>
      <w:r>
        <w:br w:type="page"/>
      </w:r>
    </w:p>
    <w:p>
      <w:pPr>
        <w:pStyle w:val="Heading1"/>
        <w:keepNext/>
        <w:spacing w:before="240" w:after="120"/>
      </w:pPr>
      <w:r>
        <w:rPr>
          <w:rFonts w:ascii="Segoe UI" w:hAnsi="Segoe UI"/>
          <w:b/>
          <w:color w:val="1F4E79"/>
          <w:sz w:val="36"/>
        </w:rPr>
        <w:t>2. ARQUITECTURA DE SISTEMAS COMPLETA</w:t>
      </w:r>
    </w:p>
    <w:p>
      <w:pPr>
        <w:spacing w:line="276" w:lineRule="auto" w:after="120"/>
      </w:pPr>
      <w:r>
        <w:rPr>
          <w:rFonts w:ascii="Segoe UI" w:hAnsi="Segoe UI"/>
          <w:sz w:val="22"/>
        </w:rPr>
        <w:t>El sistema adopta un diseño híbrido serverless utilizando el App Router de Next.js. El renderizado del panel analítico se ejecuta en el servidor (RSC) a través de consultas centralizadas, mientras que el chat interactivo emplea flujos Web en tiempo real. La persistencia es delegada a una base de datos PostgreSQL gestionada en Supabase Cloud.</w:t>
      </w:r>
    </w:p>
    <w:p>
      <w:pPr>
        <w:pStyle w:val="Heading2"/>
        <w:keepNext/>
        <w:spacing w:before="240" w:after="120"/>
      </w:pPr>
      <w:r>
        <w:rPr>
          <w:rFonts w:ascii="Segoe UI" w:hAnsi="Segoe UI"/>
          <w:b/>
          <w:color w:val="595959"/>
          <w:sz w:val="28"/>
        </w:rPr>
        <w:t>Flujo Lógico del Sistema (Inferencia de IA y Telemetría)</w:t>
      </w:r>
    </w:p>
    <w:p>
      <w:pPr>
        <w:spacing w:line="276" w:lineRule="auto" w:after="120"/>
        <w:ind w:left="144"/>
      </w:pPr>
      <w:r>
        <w:rPr>
          <w:rFonts w:ascii="Consolas" w:hAnsi="Consolas"/>
          <w:sz w:val="19"/>
        </w:rPr>
        <w:t>┌───────────────────────┐          (Petición del Chat)          ┌───────────────────────────┐</w:t>
        <w:br/>
        <w:t>│ Cliente: UI del Chat   ├─────────────────────────────────────►│ Backend API: /api/chat     │</w:t>
        <w:br/>
        <w:t>└───────────────────────┘                                       └─────────────┬─────────────┘</w:t>
        <w:br/>
        <w:t xml:space="preserve">                                                                              │</w:t>
        <w:br/>
        <w:t xml:space="preserve">                                                                              ▼</w:t>
        <w:br/>
        <w:t xml:space="preserve">                                                                 [ Enrutador Dinámico isComplex ]</w:t>
        <w:br/>
        <w:t xml:space="preserve">                                                                  ├─ Simple  ──► Llama 3.1 8B</w:t>
        <w:br/>
        <w:t xml:space="preserve">                                                                  └─ Complejo ─► Llama 3.3 70B</w:t>
        <w:br/>
        <w:t xml:space="preserve">                                                                              │</w:t>
        <w:br/>
        <w:t xml:space="preserve">                                                                              ▼</w:t>
        <w:br/>
        <w:t xml:space="preserve">                                                                 [ Orquestación / Tool Calling ]</w:t>
        <w:br/>
        <w:t xml:space="preserve">                                                                  ├─ OK  ──► Ejecuta Supabase DB</w:t>
        <w:br/>
        <w:t xml:space="preserve">                                                                  └─ Fail ─► Gemini 1.5 Fallback</w:t>
        <w:br/>
        <w:t xml:space="preserve">                                                                              │</w:t>
        <w:br/>
        <w:t xml:space="preserve">                                                                              ▼</w:t>
        <w:br/>
        <w:t xml:space="preserve">                                                                 [ Telemetría APM logAPMTrace ]</w:t>
        <w:br/>
        <w:t xml:space="preserve">                                                                  └─ Registra latencia e impactos</w:t>
      </w:r>
    </w:p>
    <w:p>
      <w:r>
        <w:br w:type="page"/>
      </w:r>
    </w:p>
    <w:p>
      <w:pPr>
        <w:pStyle w:val="Heading1"/>
        <w:keepNext/>
        <w:spacing w:before="240" w:after="120"/>
      </w:pPr>
      <w:r>
        <w:rPr>
          <w:rFonts w:ascii="Segoe UI" w:hAnsi="Segoe UI"/>
          <w:b/>
          <w:color w:val="1F4E79"/>
          <w:sz w:val="36"/>
        </w:rPr>
        <w:t>3. ESTRUCTURA Y COMPONENTES DEL FRONTEND</w:t>
      </w:r>
    </w:p>
    <w:p>
      <w:pPr>
        <w:spacing w:line="276" w:lineRule="auto" w:after="120"/>
      </w:pPr>
      <w:r>
        <w:rPr>
          <w:rFonts w:ascii="Segoe UI" w:hAnsi="Segoe UI"/>
          <w:sz w:val="22"/>
        </w:rPr>
        <w:t>El frontend está construido sobre Next.js 14 utilizando componentes de React estilizados con Vanilla CSS y componentes accesibles de Radix UI. Se implementa un sistema visual reactivo basado en temas de color inteligentes (HSL tailored themes) adaptados automáticamente según la categoría comercial del negocio (ej. Panadería, Transporte, Tecnología).</w:t>
      </w:r>
    </w:p>
    <w:p>
      <w:pPr>
        <w:pStyle w:val="Heading2"/>
        <w:keepNext/>
        <w:spacing w:before="240" w:after="120"/>
      </w:pPr>
      <w:r>
        <w:rPr>
          <w:rFonts w:ascii="Segoe UI" w:hAnsi="Segoe UI"/>
          <w:b/>
          <w:color w:val="595959"/>
          <w:sz w:val="28"/>
        </w:rPr>
        <w:t>Estructura Clave de Directorios</w:t>
      </w:r>
    </w:p>
    <w:p>
      <w:pPr>
        <w:spacing w:line="276" w:lineRule="auto" w:after="120"/>
      </w:pPr>
      <w:r>
        <w:rPr>
          <w:rFonts w:ascii="Consolas" w:hAnsi="Consolas"/>
          <w:sz w:val="19"/>
        </w:rPr>
        <w:t>app/</w:t>
        <w:br/>
        <w:t xml:space="preserve"> ├─ auth/                       # Páginas de inicio de sesión y recuperación</w:t>
        <w:br/>
        <w:t xml:space="preserve"> ├─ dashboard/                  # Panel analítico principal multitenant</w:t>
        <w:br/>
        <w:t xml:space="preserve"> │   ├─ layout.tsx              # Layout unificado del dashboard (zen minimalista)</w:t>
        <w:br/>
        <w:t xml:space="preserve"> │   ├─ page.tsx                # Server Component para obtención progresiva de totales</w:t>
        <w:br/>
        <w:t xml:space="preserve"> │   └─ settings/               # Ruta de configuraciones de contraseña y negocio</w:t>
        <w:br/>
        <w:t xml:space="preserve"> └─ api/                        # Rutas del servidor serverless (API routes)</w:t>
        <w:br/>
        <w:t>components/</w:t>
        <w:br/>
        <w:t xml:space="preserve"> ├─ dashboard/                  # Tarjetas analíticas, gráficos e historial contable</w:t>
        <w:br/>
        <w:t xml:space="preserve"> │   ├─ floating-chat.tsx       # Componente del chat conversacional de Yoonnie</w:t>
        <w:br/>
        <w:t xml:space="preserve"> │   ├─ stats-card.tsx          # Tarjetas de Balance, Ingreso, Egreso y Metas</w:t>
        <w:br/>
        <w:t xml:space="preserve"> │   └─ business-health.tsx     # Widget de cálculo automatizado de salud financiera</w:t>
        <w:br/>
        <w:t>lib/</w:t>
        <w:br/>
        <w:t xml:space="preserve"> ├─ supabase/                  # Clientes de base de datos seguros cliente-servidor</w:t>
        <w:br/>
        <w:t xml:space="preserve"> └─ utils.ts                   # Helpers de sanitización y escape de strings</w:t>
        <w:br/>
      </w:r>
    </w:p>
    <w:p>
      <w:r>
        <w:br w:type="page"/>
      </w:r>
    </w:p>
    <w:p>
      <w:pPr>
        <w:pStyle w:val="Heading1"/>
        <w:keepNext/>
        <w:spacing w:before="240" w:after="120"/>
      </w:pPr>
      <w:r>
        <w:rPr>
          <w:rFonts w:ascii="Segoe UI" w:hAnsi="Segoe UI"/>
          <w:b/>
          <w:color w:val="1F4E79"/>
          <w:sz w:val="36"/>
        </w:rPr>
        <w:t>4. SERVICIOS Y ESPECIFICACIÓN DE APIS DEL BACKEND</w:t>
      </w:r>
    </w:p>
    <w:p>
      <w:pPr>
        <w:spacing w:line="276" w:lineRule="auto" w:after="120"/>
      </w:pPr>
      <w:r>
        <w:rPr>
          <w:rFonts w:ascii="Segoe UI" w:hAnsi="Segoe UI"/>
          <w:sz w:val="22"/>
        </w:rPr>
        <w:t>El backend funciona bajo arquitectura serverless sobre Next.js API Routes, exponiendo endpoints robustos protegidos por middleware e interfaces tipo-seguras construidas con validaciones esquemáticas Zod.</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00" w:type="dxa"/>
              <w:bottom w:w="100" w:type="dxa"/>
              <w:left w:w="150" w:type="dxa"/>
              <w:right w:w="150" w:type="dxa"/>
            </w:tcMar>
          </w:tcPr>
          <w:p>
            <w:r>
              <w:rPr>
                <w:b/>
                <w:color w:val="FFFFFF"/>
              </w:rPr>
              <w:t>Método</w:t>
            </w:r>
          </w:p>
        </w:tc>
        <w:tc>
          <w:tcPr>
            <w:tcW w:type="dxa" w:w="2340"/>
            <w:shd w:fill="1F4E79"/>
            <w:tcMar>
              <w:top w:w="100" w:type="dxa"/>
              <w:bottom w:w="100" w:type="dxa"/>
              <w:left w:w="150" w:type="dxa"/>
              <w:right w:w="150" w:type="dxa"/>
            </w:tcMar>
          </w:tcPr>
          <w:p>
            <w:r>
              <w:rPr>
                <w:b/>
                <w:color w:val="FFFFFF"/>
              </w:rPr>
              <w:t>Ruta API</w:t>
            </w:r>
          </w:p>
        </w:tc>
        <w:tc>
          <w:tcPr>
            <w:tcW w:type="dxa" w:w="2340"/>
            <w:shd w:fill="1F4E79"/>
            <w:tcMar>
              <w:top w:w="100" w:type="dxa"/>
              <w:bottom w:w="100" w:type="dxa"/>
              <w:left w:w="150" w:type="dxa"/>
              <w:right w:w="150" w:type="dxa"/>
            </w:tcMar>
          </w:tcPr>
          <w:p>
            <w:r>
              <w:rPr>
                <w:b/>
                <w:color w:val="FFFFFF"/>
              </w:rPr>
              <w:t>Propósito</w:t>
            </w:r>
          </w:p>
        </w:tc>
        <w:tc>
          <w:tcPr>
            <w:tcW w:type="dxa" w:w="2340"/>
            <w:shd w:fill="1F4E79"/>
            <w:tcMar>
              <w:top w:w="100" w:type="dxa"/>
              <w:bottom w:w="100" w:type="dxa"/>
              <w:left w:w="150" w:type="dxa"/>
              <w:right w:w="150" w:type="dxa"/>
            </w:tcMar>
          </w:tcPr>
          <w:p>
            <w:r>
              <w:rPr>
                <w:b/>
                <w:color w:val="FFFFFF"/>
              </w:rPr>
              <w:t>Control de Acceso</w:t>
            </w:r>
          </w:p>
        </w:tc>
      </w:tr>
      <w:tr>
        <w:tc>
          <w:tcPr>
            <w:tcW w:type="dxa" w:w="2340"/>
            <w:tcMar>
              <w:top w:w="100" w:type="dxa"/>
              <w:bottom w:w="100" w:type="dxa"/>
              <w:left w:w="150" w:type="dxa"/>
              <w:right w:w="150" w:type="dxa"/>
            </w:tcMar>
            <w:shd w:fill="F2F2F2"/>
          </w:tcPr>
          <w:p>
            <w:r>
              <w:t>POST</w:t>
            </w:r>
          </w:p>
        </w:tc>
        <w:tc>
          <w:tcPr>
            <w:tcW w:type="dxa" w:w="2340"/>
            <w:tcMar>
              <w:top w:w="100" w:type="dxa"/>
              <w:bottom w:w="100" w:type="dxa"/>
              <w:left w:w="150" w:type="dxa"/>
              <w:right w:w="150" w:type="dxa"/>
            </w:tcMar>
            <w:shd w:fill="F2F2F2"/>
          </w:tcPr>
          <w:p>
            <w:r>
              <w:t>/api/chat</w:t>
            </w:r>
          </w:p>
        </w:tc>
        <w:tc>
          <w:tcPr>
            <w:tcW w:type="dxa" w:w="2340"/>
            <w:tcMar>
              <w:top w:w="100" w:type="dxa"/>
              <w:bottom w:w="100" w:type="dxa"/>
              <w:left w:w="150" w:type="dxa"/>
              <w:right w:w="150" w:type="dxa"/>
            </w:tcMar>
            <w:shd w:fill="F2F2F2"/>
          </w:tcPr>
          <w:p>
            <w:r>
              <w:t>Procesamiento de chat y tool calling de base de datos.</w:t>
            </w:r>
          </w:p>
        </w:tc>
        <w:tc>
          <w:tcPr>
            <w:tcW w:type="dxa" w:w="2340"/>
            <w:tcMar>
              <w:top w:w="100" w:type="dxa"/>
              <w:bottom w:w="100" w:type="dxa"/>
              <w:left w:w="150" w:type="dxa"/>
              <w:right w:w="150" w:type="dxa"/>
            </w:tcMar>
            <w:shd w:fill="F2F2F2"/>
          </w:tcPr>
          <w:p>
            <w:r>
              <w:t>Cookie JWT (getUser) + Rate Limit</w:t>
            </w:r>
          </w:p>
        </w:tc>
      </w:tr>
      <w:tr>
        <w:tc>
          <w:tcPr>
            <w:tcW w:type="dxa" w:w="2340"/>
            <w:tcMar>
              <w:top w:w="100" w:type="dxa"/>
              <w:bottom w:w="100" w:type="dxa"/>
              <w:left w:w="150" w:type="dxa"/>
              <w:right w:w="150" w:type="dxa"/>
            </w:tcMar>
            <w:shd w:fill="F2F2F2"/>
          </w:tcPr>
          <w:p>
            <w:r>
              <w:t>GET</w:t>
            </w:r>
          </w:p>
        </w:tc>
        <w:tc>
          <w:tcPr>
            <w:tcW w:type="dxa" w:w="2340"/>
            <w:tcMar>
              <w:top w:w="100" w:type="dxa"/>
              <w:bottom w:w="100" w:type="dxa"/>
              <w:left w:w="150" w:type="dxa"/>
              <w:right w:w="150" w:type="dxa"/>
            </w:tcMar>
            <w:shd w:fill="F2F2F2"/>
          </w:tcPr>
          <w:p>
            <w:r>
              <w:t>/api/insights</w:t>
            </w:r>
          </w:p>
        </w:tc>
        <w:tc>
          <w:tcPr>
            <w:tcW w:type="dxa" w:w="2340"/>
            <w:tcMar>
              <w:top w:w="100" w:type="dxa"/>
              <w:bottom w:w="100" w:type="dxa"/>
              <w:left w:w="150" w:type="dxa"/>
              <w:right w:w="150" w:type="dxa"/>
            </w:tcMar>
            <w:shd w:fill="F2F2F2"/>
          </w:tcPr>
          <w:p>
            <w:r>
              <w:t>Generación de insights financieros de IA con caché SHA-256.</w:t>
            </w:r>
          </w:p>
        </w:tc>
        <w:tc>
          <w:tcPr>
            <w:tcW w:type="dxa" w:w="2340"/>
            <w:tcMar>
              <w:top w:w="100" w:type="dxa"/>
              <w:bottom w:w="100" w:type="dxa"/>
              <w:left w:w="150" w:type="dxa"/>
              <w:right w:w="150" w:type="dxa"/>
            </w:tcMar>
            <w:shd w:fill="F2F2F2"/>
          </w:tcPr>
          <w:p>
            <w:r>
              <w:t>Cookie JWT (getUser)</w:t>
            </w:r>
          </w:p>
        </w:tc>
      </w:tr>
      <w:tr>
        <w:tc>
          <w:tcPr>
            <w:tcW w:type="dxa" w:w="2340"/>
            <w:tcMar>
              <w:top w:w="100" w:type="dxa"/>
              <w:bottom w:w="100" w:type="dxa"/>
              <w:left w:w="150" w:type="dxa"/>
              <w:right w:w="150" w:type="dxa"/>
            </w:tcMar>
            <w:shd w:fill="F2F2F2"/>
          </w:tcPr>
          <w:p>
            <w:r>
              <w:t>POST</w:t>
            </w:r>
          </w:p>
        </w:tc>
        <w:tc>
          <w:tcPr>
            <w:tcW w:type="dxa" w:w="2340"/>
            <w:tcMar>
              <w:top w:w="100" w:type="dxa"/>
              <w:bottom w:w="100" w:type="dxa"/>
              <w:left w:w="150" w:type="dxa"/>
              <w:right w:w="150" w:type="dxa"/>
            </w:tcMar>
            <w:shd w:fill="F2F2F2"/>
          </w:tcPr>
          <w:p>
            <w:r>
              <w:t>/api/auth/login</w:t>
            </w:r>
          </w:p>
        </w:tc>
        <w:tc>
          <w:tcPr>
            <w:tcW w:type="dxa" w:w="2340"/>
            <w:tcMar>
              <w:top w:w="100" w:type="dxa"/>
              <w:bottom w:w="100" w:type="dxa"/>
              <w:left w:w="150" w:type="dxa"/>
              <w:right w:w="150" w:type="dxa"/>
            </w:tcMar>
            <w:shd w:fill="F2F2F2"/>
          </w:tcPr>
          <w:p>
            <w:r>
              <w:t>Autenticación segura del usuario inquilino.</w:t>
            </w:r>
          </w:p>
        </w:tc>
        <w:tc>
          <w:tcPr>
            <w:tcW w:type="dxa" w:w="2340"/>
            <w:tcMar>
              <w:top w:w="100" w:type="dxa"/>
              <w:bottom w:w="100" w:type="dxa"/>
              <w:left w:w="150" w:type="dxa"/>
              <w:right w:w="150" w:type="dxa"/>
            </w:tcMar>
            <w:shd w:fill="F2F2F2"/>
          </w:tcPr>
          <w:p>
            <w:r>
              <w:t>Público</w:t>
            </w:r>
          </w:p>
        </w:tc>
      </w:tr>
      <w:tr>
        <w:tc>
          <w:tcPr>
            <w:tcW w:type="dxa" w:w="2340"/>
            <w:tcMar>
              <w:top w:w="100" w:type="dxa"/>
              <w:bottom w:w="100" w:type="dxa"/>
              <w:left w:w="150" w:type="dxa"/>
              <w:right w:w="150" w:type="dxa"/>
            </w:tcMar>
            <w:shd w:fill="F2F2F2"/>
          </w:tcPr>
          <w:p>
            <w:r>
              <w:t>POST</w:t>
            </w:r>
          </w:p>
        </w:tc>
        <w:tc>
          <w:tcPr>
            <w:tcW w:type="dxa" w:w="2340"/>
            <w:tcMar>
              <w:top w:w="100" w:type="dxa"/>
              <w:bottom w:w="100" w:type="dxa"/>
              <w:left w:w="150" w:type="dxa"/>
              <w:right w:w="150" w:type="dxa"/>
            </w:tcMar>
            <w:shd w:fill="F2F2F2"/>
          </w:tcPr>
          <w:p>
            <w:r>
              <w:t>/api/auth/reset</w:t>
            </w:r>
          </w:p>
        </w:tc>
        <w:tc>
          <w:tcPr>
            <w:tcW w:type="dxa" w:w="2340"/>
            <w:tcMar>
              <w:top w:w="100" w:type="dxa"/>
              <w:bottom w:w="100" w:type="dxa"/>
              <w:left w:w="150" w:type="dxa"/>
              <w:right w:w="150" w:type="dxa"/>
            </w:tcMar>
            <w:shd w:fill="F2F2F2"/>
          </w:tcPr>
          <w:p>
            <w:r>
              <w:t>Generación de token de restablecimiento de contraseña.</w:t>
            </w:r>
          </w:p>
        </w:tc>
        <w:tc>
          <w:tcPr>
            <w:tcW w:type="dxa" w:w="2340"/>
            <w:tcMar>
              <w:top w:w="100" w:type="dxa"/>
              <w:bottom w:w="100" w:type="dxa"/>
              <w:left w:w="150" w:type="dxa"/>
              <w:right w:w="150" w:type="dxa"/>
            </w:tcMar>
            <w:shd w:fill="F2F2F2"/>
          </w:tcPr>
          <w:p>
            <w:r>
              <w:t>Público</w:t>
            </w:r>
          </w:p>
        </w:tc>
      </w:tr>
    </w:tbl>
    <w:p>
      <w:r>
        <w:br w:type="page"/>
      </w:r>
    </w:p>
    <w:p>
      <w:pPr>
        <w:pStyle w:val="Heading1"/>
        <w:keepNext/>
        <w:spacing w:before="240" w:after="120"/>
      </w:pPr>
      <w:r>
        <w:rPr>
          <w:rFonts w:ascii="Segoe UI" w:hAnsi="Segoe UI"/>
          <w:b/>
          <w:color w:val="1F4E79"/>
          <w:sz w:val="36"/>
        </w:rPr>
        <w:t>5. MOTOR Y ORQUESTACIÓN DEL SISTEMA DE IA (AIOps)</w:t>
      </w:r>
    </w:p>
    <w:p>
      <w:pPr>
        <w:spacing w:line="276" w:lineRule="auto" w:after="120"/>
      </w:pPr>
      <w:r>
        <w:rPr>
          <w:rFonts w:ascii="Segoe UI" w:hAnsi="Segoe UI"/>
          <w:sz w:val="22"/>
        </w:rPr>
        <w:t>El sistema de IA es controlado por el orquestador Vercel AI SDK. Las decisiones y flujos están estructurados para optimizar costos de computación y latencias:</w:t>
      </w:r>
    </w:p>
    <w:p>
      <w:pPr>
        <w:spacing w:line="276" w:lineRule="auto" w:after="120"/>
      </w:pPr>
      <w:r>
        <w:rPr>
          <w:rFonts w:ascii="Segoe UI" w:hAnsi="Segoe UI"/>
          <w:sz w:val="22"/>
        </w:rPr>
        <w:t>1. Enrutador Dinámico (isComplexQuery):</w:t>
      </w:r>
    </w:p>
    <w:p>
      <w:pPr>
        <w:spacing w:line="276" w:lineRule="auto" w:after="120"/>
      </w:pPr>
      <w:r>
        <w:rPr>
          <w:rFonts w:ascii="Segoe UI" w:hAnsi="Segoe UI"/>
          <w:sz w:val="22"/>
        </w:rPr>
        <w:t>Clasifica la consulta del usuario en base a palabras clave complejas o extensión del texto. Las consultas simples ('hola', 'registra venta de 2 lucas') se derivan a Groq Llama 3.1 8B ($0.05/1M tokens). Las consultas complejas ('hazme una proyección del IVA') se derivan a Groq Llama 3.3 70B ($0.59/1M tokens). Esto ahorra hasta un 55% de costos de inferencia.</w:t>
      </w:r>
    </w:p>
    <w:p>
      <w:pPr>
        <w:spacing w:line="276" w:lineRule="auto" w:after="120"/>
      </w:pPr>
      <w:r>
        <w:rPr>
          <w:rFonts w:ascii="Segoe UI" w:hAnsi="Segoe UI"/>
          <w:sz w:val="22"/>
        </w:rPr>
        <w:t>2. Memoria Semántica en Background:</w:t>
      </w:r>
    </w:p>
    <w:p>
      <w:pPr>
        <w:spacing w:line="276" w:lineRule="auto" w:after="120"/>
      </w:pPr>
      <w:r>
        <w:rPr>
          <w:rFonts w:ascii="Segoe UI" w:hAnsi="Segoe UI"/>
          <w:sz w:val="22"/>
        </w:rPr>
        <w:t>Para evitar el desborde del límite de tokens en conversaciones largas, un hilo en segundo plano toma de forma asíncrona los diálogos históricos acumulados por fuera de la ventana de los últimos 10 mensajes, genera un resumen condensado y lo persiste en 'insights_cache' bajo el tipo 'chat_summary'. Este resumen se inyecta en el System Prompt modular, garantizando memoria histórica a costo cero de tokens redundantes.</w:t>
      </w:r>
    </w:p>
    <w:p>
      <w:r>
        <w:br w:type="page"/>
      </w:r>
    </w:p>
    <w:p>
      <w:pPr>
        <w:pStyle w:val="Heading1"/>
        <w:keepNext/>
        <w:spacing w:before="240" w:after="120"/>
      </w:pPr>
      <w:r>
        <w:rPr>
          <w:rFonts w:ascii="Segoe UI" w:hAnsi="Segoe UI"/>
          <w:b/>
          <w:color w:val="1F4E79"/>
          <w:sz w:val="36"/>
        </w:rPr>
        <w:t>6. MODELO RELACIONAL E INTEGRIDAD DE LA BASE DE DATOS</w:t>
      </w:r>
    </w:p>
    <w:p>
      <w:pPr>
        <w:spacing w:line="276" w:lineRule="auto" w:after="120"/>
      </w:pPr>
      <w:r>
        <w:rPr>
          <w:rFonts w:ascii="Segoe UI" w:hAnsi="Segoe UI"/>
          <w:sz w:val="22"/>
        </w:rPr>
        <w:t>El motor de base de datos es PostgreSQL alojado en Supabase Cloud. El esquema está normalizado e implementa constraints estrictos de clave foránea en cascada y Row Level Security (RLS) basado en 'auth.uid() = user_id'.</w:t>
      </w:r>
    </w:p>
    <w:p>
      <w:pPr>
        <w:pStyle w:val="Heading2"/>
        <w:keepNext/>
        <w:spacing w:before="240" w:after="120"/>
      </w:pPr>
      <w:r>
        <w:rPr>
          <w:rFonts w:ascii="Segoe UI" w:hAnsi="Segoe UI"/>
          <w:b/>
          <w:color w:val="595959"/>
          <w:sz w:val="28"/>
        </w:rPr>
        <w:t>Matriz de Tablas Clave del Negocio</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00" w:type="dxa"/>
              <w:bottom w:w="100" w:type="dxa"/>
              <w:left w:w="150" w:type="dxa"/>
              <w:right w:w="150" w:type="dxa"/>
            </w:tcMar>
          </w:tcPr>
          <w:p>
            <w:r>
              <w:rPr>
                <w:b/>
                <w:color w:val="FFFFFF"/>
              </w:rPr>
              <w:t>Tabla</w:t>
            </w:r>
          </w:p>
        </w:tc>
        <w:tc>
          <w:tcPr>
            <w:tcW w:type="dxa" w:w="2340"/>
            <w:shd w:fill="1F4E79"/>
            <w:tcMar>
              <w:top w:w="100" w:type="dxa"/>
              <w:bottom w:w="100" w:type="dxa"/>
              <w:left w:w="150" w:type="dxa"/>
              <w:right w:w="150" w:type="dxa"/>
            </w:tcMar>
          </w:tcPr>
          <w:p>
            <w:r>
              <w:rPr>
                <w:b/>
                <w:color w:val="FFFFFF"/>
              </w:rPr>
              <w:t>Propósito</w:t>
            </w:r>
          </w:p>
        </w:tc>
        <w:tc>
          <w:tcPr>
            <w:tcW w:type="dxa" w:w="2340"/>
            <w:shd w:fill="1F4E79"/>
            <w:tcMar>
              <w:top w:w="100" w:type="dxa"/>
              <w:bottom w:w="100" w:type="dxa"/>
              <w:left w:w="150" w:type="dxa"/>
              <w:right w:w="150" w:type="dxa"/>
            </w:tcMar>
          </w:tcPr>
          <w:p>
            <w:r>
              <w:rPr>
                <w:b/>
                <w:color w:val="FFFFFF"/>
              </w:rPr>
              <w:t>Clave Primaria</w:t>
            </w:r>
          </w:p>
        </w:tc>
        <w:tc>
          <w:tcPr>
            <w:tcW w:type="dxa" w:w="2340"/>
            <w:shd w:fill="1F4E79"/>
            <w:tcMar>
              <w:top w:w="100" w:type="dxa"/>
              <w:bottom w:w="100" w:type="dxa"/>
              <w:left w:w="150" w:type="dxa"/>
              <w:right w:w="150" w:type="dxa"/>
            </w:tcMar>
          </w:tcPr>
          <w:p>
            <w:r>
              <w:rPr>
                <w:b/>
                <w:color w:val="FFFFFF"/>
              </w:rPr>
              <w:t>Políticas RLS</w:t>
            </w:r>
          </w:p>
        </w:tc>
      </w:tr>
      <w:tr>
        <w:tc>
          <w:tcPr>
            <w:tcW w:type="dxa" w:w="2340"/>
            <w:tcMar>
              <w:top w:w="100" w:type="dxa"/>
              <w:bottom w:w="100" w:type="dxa"/>
              <w:left w:w="150" w:type="dxa"/>
              <w:right w:w="150" w:type="dxa"/>
            </w:tcMar>
            <w:shd w:fill="F2F2F2"/>
          </w:tcPr>
          <w:p>
            <w:r>
              <w:t>businesses</w:t>
            </w:r>
          </w:p>
        </w:tc>
        <w:tc>
          <w:tcPr>
            <w:tcW w:type="dxa" w:w="2340"/>
            <w:tcMar>
              <w:top w:w="100" w:type="dxa"/>
              <w:bottom w:w="100" w:type="dxa"/>
              <w:left w:w="150" w:type="dxa"/>
              <w:right w:w="150" w:type="dxa"/>
            </w:tcMar>
            <w:shd w:fill="F2F2F2"/>
          </w:tcPr>
          <w:p>
            <w:r>
              <w:t>Datos comerciales de la PYME.</w:t>
            </w:r>
          </w:p>
        </w:tc>
        <w:tc>
          <w:tcPr>
            <w:tcW w:type="dxa" w:w="2340"/>
            <w:tcMar>
              <w:top w:w="100" w:type="dxa"/>
              <w:bottom w:w="100" w:type="dxa"/>
              <w:left w:w="150" w:type="dxa"/>
              <w:right w:w="150" w:type="dxa"/>
            </w:tcMar>
            <w:shd w:fill="F2F2F2"/>
          </w:tcPr>
          <w:p>
            <w:r>
              <w:t>id (UUID)</w:t>
            </w:r>
          </w:p>
        </w:tc>
        <w:tc>
          <w:tcPr>
            <w:tcW w:type="dxa" w:w="2340"/>
            <w:tcMar>
              <w:top w:w="100" w:type="dxa"/>
              <w:bottom w:w="100" w:type="dxa"/>
              <w:left w:w="150" w:type="dxa"/>
              <w:right w:w="150" w:type="dxa"/>
            </w:tcMar>
            <w:shd w:fill="F2F2F2"/>
          </w:tcPr>
          <w:p>
            <w:r>
              <w:t>auth.uid() = user_id</w:t>
            </w:r>
          </w:p>
        </w:tc>
      </w:tr>
      <w:tr>
        <w:tc>
          <w:tcPr>
            <w:tcW w:type="dxa" w:w="2340"/>
            <w:tcMar>
              <w:top w:w="100" w:type="dxa"/>
              <w:bottom w:w="100" w:type="dxa"/>
              <w:left w:w="150" w:type="dxa"/>
              <w:right w:w="150" w:type="dxa"/>
            </w:tcMar>
            <w:shd w:fill="F2F2F2"/>
          </w:tcPr>
          <w:p>
            <w:r>
              <w:t>transactions</w:t>
            </w:r>
          </w:p>
        </w:tc>
        <w:tc>
          <w:tcPr>
            <w:tcW w:type="dxa" w:w="2340"/>
            <w:tcMar>
              <w:top w:w="100" w:type="dxa"/>
              <w:bottom w:w="100" w:type="dxa"/>
              <w:left w:w="150" w:type="dxa"/>
              <w:right w:w="150" w:type="dxa"/>
            </w:tcMar>
            <w:shd w:fill="F2F2F2"/>
          </w:tcPr>
          <w:p>
            <w:r>
              <w:t>Ingresos y gastos contables.</w:t>
            </w:r>
          </w:p>
        </w:tc>
        <w:tc>
          <w:tcPr>
            <w:tcW w:type="dxa" w:w="2340"/>
            <w:tcMar>
              <w:top w:w="100" w:type="dxa"/>
              <w:bottom w:w="100" w:type="dxa"/>
              <w:left w:w="150" w:type="dxa"/>
              <w:right w:w="150" w:type="dxa"/>
            </w:tcMar>
            <w:shd w:fill="F2F2F2"/>
          </w:tcPr>
          <w:p>
            <w:r>
              <w:t>id (UUID)</w:t>
            </w:r>
          </w:p>
        </w:tc>
        <w:tc>
          <w:tcPr>
            <w:tcW w:type="dxa" w:w="2340"/>
            <w:tcMar>
              <w:top w:w="100" w:type="dxa"/>
              <w:bottom w:w="100" w:type="dxa"/>
              <w:left w:w="150" w:type="dxa"/>
              <w:right w:w="150" w:type="dxa"/>
            </w:tcMar>
            <w:shd w:fill="F2F2F2"/>
          </w:tcPr>
          <w:p>
            <w:r>
              <w:t>auth.uid() = user_id</w:t>
            </w:r>
          </w:p>
        </w:tc>
      </w:tr>
      <w:tr>
        <w:tc>
          <w:tcPr>
            <w:tcW w:type="dxa" w:w="2340"/>
            <w:tcMar>
              <w:top w:w="100" w:type="dxa"/>
              <w:bottom w:w="100" w:type="dxa"/>
              <w:left w:w="150" w:type="dxa"/>
              <w:right w:w="150" w:type="dxa"/>
            </w:tcMar>
            <w:shd w:fill="F2F2F2"/>
          </w:tcPr>
          <w:p>
            <w:r>
              <w:t>inventory</w:t>
            </w:r>
          </w:p>
        </w:tc>
        <w:tc>
          <w:tcPr>
            <w:tcW w:type="dxa" w:w="2340"/>
            <w:tcMar>
              <w:top w:w="100" w:type="dxa"/>
              <w:bottom w:w="100" w:type="dxa"/>
              <w:left w:w="150" w:type="dxa"/>
              <w:right w:w="150" w:type="dxa"/>
            </w:tcMar>
            <w:shd w:fill="F2F2F2"/>
          </w:tcPr>
          <w:p>
            <w:r>
              <w:t>Existencias físicas e insumos.</w:t>
            </w:r>
          </w:p>
        </w:tc>
        <w:tc>
          <w:tcPr>
            <w:tcW w:type="dxa" w:w="2340"/>
            <w:tcMar>
              <w:top w:w="100" w:type="dxa"/>
              <w:bottom w:w="100" w:type="dxa"/>
              <w:left w:w="150" w:type="dxa"/>
              <w:right w:w="150" w:type="dxa"/>
            </w:tcMar>
            <w:shd w:fill="F2F2F2"/>
          </w:tcPr>
          <w:p>
            <w:r>
              <w:t>id (UUID)</w:t>
            </w:r>
          </w:p>
        </w:tc>
        <w:tc>
          <w:tcPr>
            <w:tcW w:type="dxa" w:w="2340"/>
            <w:tcMar>
              <w:top w:w="100" w:type="dxa"/>
              <w:bottom w:w="100" w:type="dxa"/>
              <w:left w:w="150" w:type="dxa"/>
              <w:right w:w="150" w:type="dxa"/>
            </w:tcMar>
            <w:shd w:fill="F2F2F2"/>
          </w:tcPr>
          <w:p>
            <w:r>
              <w:t>auth.uid() = user_id</w:t>
            </w:r>
          </w:p>
        </w:tc>
      </w:tr>
      <w:tr>
        <w:tc>
          <w:tcPr>
            <w:tcW w:type="dxa" w:w="2340"/>
            <w:tcMar>
              <w:top w:w="100" w:type="dxa"/>
              <w:bottom w:w="100" w:type="dxa"/>
              <w:left w:w="150" w:type="dxa"/>
              <w:right w:w="150" w:type="dxa"/>
            </w:tcMar>
            <w:shd w:fill="F2F2F2"/>
          </w:tcPr>
          <w:p>
            <w:r>
              <w:t>insights_cache</w:t>
            </w:r>
          </w:p>
        </w:tc>
        <w:tc>
          <w:tcPr>
            <w:tcW w:type="dxa" w:w="2340"/>
            <w:tcMar>
              <w:top w:w="100" w:type="dxa"/>
              <w:bottom w:w="100" w:type="dxa"/>
              <w:left w:w="150" w:type="dxa"/>
              <w:right w:w="150" w:type="dxa"/>
            </w:tcMar>
            <w:shd w:fill="F2F2F2"/>
          </w:tcPr>
          <w:p>
            <w:r>
              <w:t>Caché de analíticas e historial.</w:t>
            </w:r>
          </w:p>
        </w:tc>
        <w:tc>
          <w:tcPr>
            <w:tcW w:type="dxa" w:w="2340"/>
            <w:tcMar>
              <w:top w:w="100" w:type="dxa"/>
              <w:bottom w:w="100" w:type="dxa"/>
              <w:left w:w="150" w:type="dxa"/>
              <w:right w:w="150" w:type="dxa"/>
            </w:tcMar>
            <w:shd w:fill="F2F2F2"/>
          </w:tcPr>
          <w:p>
            <w:r>
              <w:t>id (UUID)</w:t>
            </w:r>
          </w:p>
        </w:tc>
        <w:tc>
          <w:tcPr>
            <w:tcW w:type="dxa" w:w="2340"/>
            <w:tcMar>
              <w:top w:w="100" w:type="dxa"/>
              <w:bottom w:w="100" w:type="dxa"/>
              <w:left w:w="150" w:type="dxa"/>
              <w:right w:w="150" w:type="dxa"/>
            </w:tcMar>
            <w:shd w:fill="F2F2F2"/>
          </w:tcPr>
          <w:p>
            <w:r>
              <w:t>auth.uid() = user_id</w:t>
            </w:r>
          </w:p>
        </w:tc>
      </w:tr>
      <w:tr>
        <w:tc>
          <w:tcPr>
            <w:tcW w:type="dxa" w:w="2340"/>
            <w:tcMar>
              <w:top w:w="100" w:type="dxa"/>
              <w:bottom w:w="100" w:type="dxa"/>
              <w:left w:w="150" w:type="dxa"/>
              <w:right w:w="150" w:type="dxa"/>
            </w:tcMar>
            <w:shd w:fill="F2F2F2"/>
          </w:tcPr>
          <w:p>
            <w:r>
              <w:t>rate_limits</w:t>
            </w:r>
          </w:p>
        </w:tc>
        <w:tc>
          <w:tcPr>
            <w:tcW w:type="dxa" w:w="2340"/>
            <w:tcMar>
              <w:top w:w="100" w:type="dxa"/>
              <w:bottom w:w="100" w:type="dxa"/>
              <w:left w:w="150" w:type="dxa"/>
              <w:right w:w="150" w:type="dxa"/>
            </w:tcMar>
            <w:shd w:fill="F2F2F2"/>
          </w:tcPr>
          <w:p>
            <w:r>
              <w:t>Control atómico de peticiones.</w:t>
            </w:r>
          </w:p>
        </w:tc>
        <w:tc>
          <w:tcPr>
            <w:tcW w:type="dxa" w:w="2340"/>
            <w:tcMar>
              <w:top w:w="100" w:type="dxa"/>
              <w:bottom w:w="100" w:type="dxa"/>
              <w:left w:w="150" w:type="dxa"/>
              <w:right w:w="150" w:type="dxa"/>
            </w:tcMar>
            <w:shd w:fill="F2F2F2"/>
          </w:tcPr>
          <w:p>
            <w:r>
              <w:t>id (UUID)</w:t>
            </w:r>
          </w:p>
        </w:tc>
        <w:tc>
          <w:tcPr>
            <w:tcW w:type="dxa" w:w="2340"/>
            <w:tcMar>
              <w:top w:w="100" w:type="dxa"/>
              <w:bottom w:w="100" w:type="dxa"/>
              <w:left w:w="150" w:type="dxa"/>
              <w:right w:w="150" w:type="dxa"/>
            </w:tcMar>
            <w:shd w:fill="F2F2F2"/>
          </w:tcPr>
          <w:p>
            <w:r>
              <w:t>auth.uid() = user_id</w:t>
            </w:r>
          </w:p>
        </w:tc>
      </w:tr>
      <w:tr>
        <w:tc>
          <w:tcPr>
            <w:tcW w:type="dxa" w:w="2340"/>
            <w:tcMar>
              <w:top w:w="100" w:type="dxa"/>
              <w:bottom w:w="100" w:type="dxa"/>
              <w:left w:w="150" w:type="dxa"/>
              <w:right w:w="150" w:type="dxa"/>
            </w:tcMar>
            <w:shd w:fill="F2F2F2"/>
          </w:tcPr>
          <w:p>
            <w:r>
              <w:t>error_auditoria</w:t>
            </w:r>
          </w:p>
        </w:tc>
        <w:tc>
          <w:tcPr>
            <w:tcW w:type="dxa" w:w="2340"/>
            <w:tcMar>
              <w:top w:w="100" w:type="dxa"/>
              <w:bottom w:w="100" w:type="dxa"/>
              <w:left w:w="150" w:type="dxa"/>
              <w:right w:w="150" w:type="dxa"/>
            </w:tcMar>
            <w:shd w:fill="F2F2F2"/>
          </w:tcPr>
          <w:p>
            <w:r>
              <w:t>Trazas forenses y APM.</w:t>
            </w:r>
          </w:p>
        </w:tc>
        <w:tc>
          <w:tcPr>
            <w:tcW w:type="dxa" w:w="2340"/>
            <w:tcMar>
              <w:top w:w="100" w:type="dxa"/>
              <w:bottom w:w="100" w:type="dxa"/>
              <w:left w:w="150" w:type="dxa"/>
              <w:right w:w="150" w:type="dxa"/>
            </w:tcMar>
            <w:shd w:fill="F2F2F2"/>
          </w:tcPr>
          <w:p>
            <w:r>
              <w:t>id (INT8)</w:t>
            </w:r>
          </w:p>
        </w:tc>
        <w:tc>
          <w:tcPr>
            <w:tcW w:type="dxa" w:w="2340"/>
            <w:tcMar>
              <w:top w:w="100" w:type="dxa"/>
              <w:bottom w:w="100" w:type="dxa"/>
              <w:left w:w="150" w:type="dxa"/>
              <w:right w:w="150" w:type="dxa"/>
            </w:tcMar>
            <w:shd w:fill="F2F2F2"/>
          </w:tcPr>
          <w:p>
            <w:r>
              <w:t>Sólo INSERT (Lectura prohibida)</w:t>
            </w:r>
          </w:p>
        </w:tc>
      </w:tr>
    </w:tbl>
    <w:p>
      <w:r>
        <w:br w:type="page"/>
      </w:r>
    </w:p>
    <w:p>
      <w:pPr>
        <w:pStyle w:val="Heading1"/>
        <w:keepNext/>
        <w:spacing w:before="240" w:after="120"/>
      </w:pPr>
      <w:r>
        <w:rPr>
          <w:rFonts w:ascii="Segoe UI" w:hAnsi="Segoe UI"/>
          <w:b/>
          <w:color w:val="1F4E79"/>
          <w:sz w:val="36"/>
        </w:rPr>
        <w:t>7. PROTOCOLOS DE SEGURIDAD Y MITIGACIÓN DE VULNERABILIDADES</w:t>
      </w:r>
    </w:p>
    <w:p>
      <w:pPr>
        <w:spacing w:line="276" w:lineRule="auto" w:after="120"/>
      </w:pPr>
      <w:r>
        <w:rPr>
          <w:rFonts w:ascii="Segoe UI" w:hAnsi="Segoe UI"/>
          <w:sz w:val="22"/>
        </w:rPr>
        <w:t>El sistema cuenta con un esquema de protección de nivel bancario e inmunización contra riesgos lógicos habituales de la Web y sistemas de IA:</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00" w:type="dxa"/>
              <w:bottom w:w="100" w:type="dxa"/>
              <w:left w:w="150" w:type="dxa"/>
              <w:right w:w="150" w:type="dxa"/>
            </w:tcMar>
          </w:tcPr>
          <w:p>
            <w:r>
              <w:rPr>
                <w:b/>
                <w:color w:val="FFFFFF"/>
              </w:rPr>
              <w:t>Vector de Riesgo</w:t>
            </w:r>
          </w:p>
        </w:tc>
        <w:tc>
          <w:tcPr>
            <w:tcW w:type="dxa" w:w="3120"/>
            <w:shd w:fill="1F4E79"/>
            <w:tcMar>
              <w:top w:w="100" w:type="dxa"/>
              <w:bottom w:w="100" w:type="dxa"/>
              <w:left w:w="150" w:type="dxa"/>
              <w:right w:w="150" w:type="dxa"/>
            </w:tcMar>
          </w:tcPr>
          <w:p>
            <w:r>
              <w:rPr>
                <w:b/>
                <w:color w:val="FFFFFF"/>
              </w:rPr>
              <w:t>Clasificación de Riesgo</w:t>
            </w:r>
          </w:p>
        </w:tc>
        <w:tc>
          <w:tcPr>
            <w:tcW w:type="dxa" w:w="3120"/>
            <w:shd w:fill="1F4E79"/>
            <w:tcMar>
              <w:top w:w="100" w:type="dxa"/>
              <w:bottom w:w="100" w:type="dxa"/>
              <w:left w:w="150" w:type="dxa"/>
              <w:right w:w="150" w:type="dxa"/>
            </w:tcMar>
          </w:tcPr>
          <w:p>
            <w:r>
              <w:rPr>
                <w:b/>
                <w:color w:val="FFFFFF"/>
              </w:rPr>
              <w:t>Mitigación Implementada</w:t>
            </w:r>
          </w:p>
        </w:tc>
      </w:tr>
      <w:tr>
        <w:tc>
          <w:tcPr>
            <w:tcW w:type="dxa" w:w="3120"/>
            <w:tcMar>
              <w:top w:w="100" w:type="dxa"/>
              <w:bottom w:w="100" w:type="dxa"/>
              <w:left w:w="150" w:type="dxa"/>
              <w:right w:w="150" w:type="dxa"/>
            </w:tcMar>
            <w:shd w:fill="F2F2F2"/>
          </w:tcPr>
          <w:p>
            <w:r>
              <w:t>Inyección SQL e IDOR</w:t>
            </w:r>
          </w:p>
        </w:tc>
        <w:tc>
          <w:tcPr>
            <w:tcW w:type="dxa" w:w="3120"/>
            <w:tcMar>
              <w:top w:w="100" w:type="dxa"/>
              <w:bottom w:w="100" w:type="dxa"/>
              <w:left w:w="150" w:type="dxa"/>
              <w:right w:w="150" w:type="dxa"/>
            </w:tcMar>
            <w:shd w:fill="F2F2F2"/>
          </w:tcPr>
          <w:p>
            <w:r>
              <w:t>Crítico</w:t>
            </w:r>
          </w:p>
        </w:tc>
        <w:tc>
          <w:tcPr>
            <w:tcW w:type="dxa" w:w="3120"/>
            <w:tcMar>
              <w:top w:w="100" w:type="dxa"/>
              <w:bottom w:w="100" w:type="dxa"/>
              <w:left w:w="150" w:type="dxa"/>
              <w:right w:w="150" w:type="dxa"/>
            </w:tcMar>
            <w:shd w:fill="F2F2F2"/>
          </w:tcPr>
          <w:p>
            <w:r>
              <w:t>ORM parametrizado y Row Level Security (RLS) forzado en base de datos. Ningún usuario puede inyectar SQL ni leer datos ajenos.</w:t>
            </w:r>
          </w:p>
        </w:tc>
      </w:tr>
      <w:tr>
        <w:tc>
          <w:tcPr>
            <w:tcW w:type="dxa" w:w="3120"/>
            <w:tcMar>
              <w:top w:w="100" w:type="dxa"/>
              <w:bottom w:w="100" w:type="dxa"/>
              <w:left w:w="150" w:type="dxa"/>
              <w:right w:w="150" w:type="dxa"/>
            </w:tcMar>
            <w:shd w:fill="F2F2F2"/>
          </w:tcPr>
          <w:p>
            <w:r>
              <w:t>Cross-Site Scripting (XSS)</w:t>
            </w:r>
          </w:p>
        </w:tc>
        <w:tc>
          <w:tcPr>
            <w:tcW w:type="dxa" w:w="3120"/>
            <w:tcMar>
              <w:top w:w="100" w:type="dxa"/>
              <w:bottom w:w="100" w:type="dxa"/>
              <w:left w:w="150" w:type="dxa"/>
              <w:right w:w="150" w:type="dxa"/>
            </w:tcMar>
            <w:shd w:fill="F2F2F2"/>
          </w:tcPr>
          <w:p>
            <w:r>
              <w:t>Crítico</w:t>
            </w:r>
          </w:p>
        </w:tc>
        <w:tc>
          <w:tcPr>
            <w:tcW w:type="dxa" w:w="3120"/>
            <w:tcMar>
              <w:top w:w="100" w:type="dxa"/>
              <w:bottom w:w="100" w:type="dxa"/>
              <w:left w:w="150" w:type="dxa"/>
              <w:right w:w="150" w:type="dxa"/>
            </w:tcMar>
            <w:shd w:fill="F2F2F2"/>
          </w:tcPr>
          <w:p>
            <w:r>
              <w:t>Sanitización del input mediante 'escapeHTML()' en backend y frontend antes de almacenar e inyectar en el DOM.</w:t>
            </w:r>
          </w:p>
        </w:tc>
      </w:tr>
      <w:tr>
        <w:tc>
          <w:tcPr>
            <w:tcW w:type="dxa" w:w="3120"/>
            <w:tcMar>
              <w:top w:w="100" w:type="dxa"/>
              <w:bottom w:w="100" w:type="dxa"/>
              <w:left w:w="150" w:type="dxa"/>
              <w:right w:w="150" w:type="dxa"/>
            </w:tcMar>
            <w:shd w:fill="F2F2F2"/>
          </w:tcPr>
          <w:p>
            <w:r>
              <w:t>Jailbreak e inyecciones de Prompt</w:t>
            </w:r>
          </w:p>
        </w:tc>
        <w:tc>
          <w:tcPr>
            <w:tcW w:type="dxa" w:w="3120"/>
            <w:tcMar>
              <w:top w:w="100" w:type="dxa"/>
              <w:bottom w:w="100" w:type="dxa"/>
              <w:left w:w="150" w:type="dxa"/>
              <w:right w:w="150" w:type="dxa"/>
            </w:tcMar>
            <w:shd w:fill="F2F2F2"/>
          </w:tcPr>
          <w:p>
            <w:r>
              <w:t>Alto</w:t>
            </w:r>
          </w:p>
        </w:tc>
        <w:tc>
          <w:tcPr>
            <w:tcW w:type="dxa" w:w="3120"/>
            <w:tcMar>
              <w:top w:w="100" w:type="dxa"/>
              <w:bottom w:w="100" w:type="dxa"/>
              <w:left w:w="150" w:type="dxa"/>
              <w:right w:w="150" w:type="dxa"/>
            </w:tcMar>
            <w:shd w:fill="F2F2F2"/>
          </w:tcPr>
          <w:p>
            <w:r>
              <w:t>Sandbox XML estructurado con bloqueador semántico en backend y respuesta fija inmutable de protección.</w:t>
            </w:r>
          </w:p>
        </w:tc>
      </w:tr>
      <w:tr>
        <w:tc>
          <w:tcPr>
            <w:tcW w:type="dxa" w:w="3120"/>
            <w:tcMar>
              <w:top w:w="100" w:type="dxa"/>
              <w:bottom w:w="100" w:type="dxa"/>
              <w:left w:w="150" w:type="dxa"/>
              <w:right w:w="150" w:type="dxa"/>
            </w:tcMar>
            <w:shd w:fill="F2F2F2"/>
          </w:tcPr>
          <w:p>
            <w:r>
              <w:t>Race Conditions en Rate Limit</w:t>
            </w:r>
          </w:p>
        </w:tc>
        <w:tc>
          <w:tcPr>
            <w:tcW w:type="dxa" w:w="3120"/>
            <w:tcMar>
              <w:top w:w="100" w:type="dxa"/>
              <w:bottom w:w="100" w:type="dxa"/>
              <w:left w:w="150" w:type="dxa"/>
              <w:right w:w="150" w:type="dxa"/>
            </w:tcMar>
            <w:shd w:fill="F2F2F2"/>
          </w:tcPr>
          <w:p>
            <w:r>
              <w:t>Medio</w:t>
            </w:r>
          </w:p>
        </w:tc>
        <w:tc>
          <w:tcPr>
            <w:tcW w:type="dxa" w:w="3120"/>
            <w:tcMar>
              <w:top w:w="100" w:type="dxa"/>
              <w:bottom w:w="100" w:type="dxa"/>
              <w:left w:w="150" w:type="dxa"/>
              <w:right w:w="150" w:type="dxa"/>
            </w:tcMar>
            <w:shd w:fill="F2F2F2"/>
          </w:tcPr>
          <w:p>
            <w:r>
              <w:t>RPC atómica en PostgreSQL 'increment_rate_limit' bloqueando peticiones concurrentes del cliente.</w:t>
            </w:r>
          </w:p>
        </w:tc>
      </w:tr>
    </w:tbl>
    <w:p>
      <w:r>
        <w:br w:type="page"/>
      </w:r>
    </w:p>
    <w:p>
      <w:pPr>
        <w:pStyle w:val="Heading1"/>
        <w:keepNext/>
        <w:spacing w:before="240" w:after="120"/>
      </w:pPr>
      <w:r>
        <w:rPr>
          <w:rFonts w:ascii="Segoe UI" w:hAnsi="Segoe UI"/>
          <w:b/>
          <w:color w:val="1F4E79"/>
          <w:sz w:val="36"/>
        </w:rPr>
        <w:t>8. INFRAESTRUCTURA CLOUD Y OPERACIONES DE DESPLIEGUE</w:t>
      </w:r>
    </w:p>
    <w:p>
      <w:pPr>
        <w:spacing w:line="276" w:lineRule="auto" w:after="120"/>
      </w:pPr>
      <w:r>
        <w:rPr>
          <w:rFonts w:ascii="Segoe UI" w:hAnsi="Segoe UI"/>
          <w:sz w:val="22"/>
        </w:rPr>
        <w:t>La plataforma está optimizada para arquitecturas de cómputo serverless cloud de alta disponibilidad:</w:t>
      </w:r>
    </w:p>
    <w:p>
      <w:pPr>
        <w:spacing w:line="276" w:lineRule="auto" w:after="120"/>
        <w:ind w:left="360"/>
      </w:pPr>
      <w:r>
        <w:rPr>
          <w:rFonts w:ascii="Segoe UI" w:hAnsi="Segoe UI"/>
          <w:sz w:val="22"/>
        </w:rPr>
        <w:t>• Servidor Web: Despliegue optimizado sobre Vercel Edge Serverless Functions, ofreciendo ruteos ultra-veloces y auto-escalado horizontal instantáneo.</w:t>
      </w:r>
    </w:p>
    <w:p>
      <w:pPr>
        <w:spacing w:line="276" w:lineRule="auto" w:after="120"/>
        <w:ind w:left="360"/>
      </w:pPr>
      <w:r>
        <w:rPr>
          <w:rFonts w:ascii="Segoe UI" w:hAnsi="Segoe UI"/>
          <w:sz w:val="22"/>
        </w:rPr>
        <w:t>• Motor de Persistencia: Supabase Cloud Enterprise en múltiples zonas redundantes.</w:t>
      </w:r>
    </w:p>
    <w:p>
      <w:pPr>
        <w:spacing w:line="276" w:lineRule="auto" w:after="120"/>
        <w:ind w:left="360"/>
      </w:pPr>
      <w:r>
        <w:rPr>
          <w:rFonts w:ascii="Segoe UI" w:hAnsi="Segoe UI"/>
          <w:sz w:val="22"/>
        </w:rPr>
        <w:t>• Cifrado de Tráfico: TLS 1.3 / HTTPS forzado en todas las conexiones del cliente al backend.</w:t>
      </w:r>
    </w:p>
    <w:p>
      <w:r>
        <w:br w:type="page"/>
      </w:r>
    </w:p>
    <w:p>
      <w:pPr>
        <w:pStyle w:val="Heading1"/>
        <w:keepNext/>
        <w:spacing w:before="240" w:after="120"/>
      </w:pPr>
      <w:r>
        <w:rPr>
          <w:rFonts w:ascii="Segoe UI" w:hAnsi="Segoe UI"/>
          <w:b/>
          <w:color w:val="1F4E79"/>
          <w:sz w:val="36"/>
        </w:rPr>
        <w:t>9. COBERTURA DE LA SUITE DE PRUEBAS DE REGRESIÓN AUTOMATIZADA</w:t>
      </w:r>
    </w:p>
    <w:p>
      <w:pPr>
        <w:spacing w:line="276" w:lineRule="auto" w:after="120"/>
      </w:pPr>
      <w:r>
        <w:rPr>
          <w:rFonts w:ascii="Segoe UI" w:hAnsi="Segoe UI"/>
          <w:sz w:val="22"/>
        </w:rPr>
        <w:t>FinanzIA posee una suite de pruebas de regresión automatizada integrada en [lib/tests/ai-eval.ts](file:///C:/Users/yoon7/Downloads/FinanzIA/lib/tests/ai-eval.ts). Los desarrolladores y pipelines de CI/CD pueden validar el sistema ejecutando localmente:</w:t>
      </w:r>
    </w:p>
    <w:p>
      <w:pPr>
        <w:spacing w:line="276" w:lineRule="auto" w:after="120"/>
      </w:pPr>
      <w:r>
        <w:rPr>
          <w:rFonts w:ascii="Consolas" w:hAnsi="Consolas"/>
          <w:b/>
          <w:sz w:val="22"/>
        </w:rPr>
        <w:t>npm run test:ai</w:t>
      </w:r>
    </w:p>
    <w:p>
      <w:pPr>
        <w:spacing w:line="276" w:lineRule="auto" w:after="120"/>
      </w:pPr>
      <w:r>
        <w:rPr>
          <w:rFonts w:ascii="Segoe UI" w:hAnsi="Segoe UI"/>
          <w:sz w:val="22"/>
        </w:rPr>
        <w:t>La cobertura de la suite evalúa 12 assertions críticas:</w:t>
      </w:r>
    </w:p>
    <w:p>
      <w:pPr>
        <w:spacing w:line="276" w:lineRule="auto" w:after="120"/>
        <w:ind w:left="360"/>
      </w:pPr>
      <w:r>
        <w:rPr>
          <w:rFonts w:ascii="Segoe UI" w:hAnsi="Segoe UI"/>
          <w:sz w:val="22"/>
        </w:rPr>
        <w:t>✔ Suite Sanitización Ingress XSS: Valida escape de etiquetas script, handlers onerror en imágenes, y caracteres especiales de comillas.</w:t>
      </w:r>
    </w:p>
    <w:p>
      <w:pPr>
        <w:spacing w:line="276" w:lineRule="auto" w:after="120"/>
        <w:ind w:left="360"/>
      </w:pPr>
      <w:r>
        <w:rPr>
          <w:rFonts w:ascii="Segoe UI" w:hAnsi="Segoe UI"/>
          <w:sz w:val="22"/>
        </w:rPr>
        <w:t>✔ Suite Filtro Inyección de Prompts: Valida el rechazo estricto de jailbreaks, intentos de robo del system prompt y sentencias SQL literales.</w:t>
      </w:r>
    </w:p>
    <w:p>
      <w:pPr>
        <w:spacing w:line="276" w:lineRule="auto" w:after="120"/>
        <w:ind w:left="360"/>
      </w:pPr>
      <w:r>
        <w:rPr>
          <w:rFonts w:ascii="Segoe UI" w:hAnsi="Segoe UI"/>
          <w:sz w:val="22"/>
        </w:rPr>
        <w:t>✔ Suite Enrutador Dinámico: Valida la correcta clasificación de prompts simples (Llama 8B) y consejos contables de fondo (Llama 70B).</w:t>
      </w:r>
    </w:p>
    <w:p>
      <w:r>
        <w:br w:type="page"/>
      </w:r>
    </w:p>
    <w:p>
      <w:pPr>
        <w:pStyle w:val="Heading1"/>
        <w:keepNext/>
        <w:spacing w:before="240" w:after="120"/>
      </w:pPr>
      <w:r>
        <w:rPr>
          <w:rFonts w:ascii="Segoe UI" w:hAnsi="Segoe UI"/>
          <w:b/>
          <w:color w:val="1F4E79"/>
          <w:sz w:val="36"/>
        </w:rPr>
        <w:t>10. SISTEMA DE TRAZAS APM Y OBSERVABILIDAD</w:t>
      </w:r>
    </w:p>
    <w:p>
      <w:pPr>
        <w:spacing w:line="276" w:lineRule="auto" w:after="120"/>
      </w:pPr>
      <w:r>
        <w:rPr>
          <w:rFonts w:ascii="Segoe UI" w:hAnsi="Segoe UI"/>
          <w:sz w:val="22"/>
        </w:rPr>
        <w:t>La monitorización activa forense se instrumenta mediante `logAPMTrace` incorporada en la fase de resolución (`onFinish`) del flujo del chat:</w:t>
      </w:r>
    </w:p>
    <w:p>
      <w:pPr>
        <w:spacing w:line="276" w:lineRule="auto" w:after="120"/>
        <w:ind w:left="360"/>
      </w:pPr>
      <w:r>
        <w:rPr>
          <w:rFonts w:ascii="Segoe UI" w:hAnsi="Segoe UI"/>
          <w:sz w:val="22"/>
        </w:rPr>
        <w:t>• Captura de Métricas: Registra la latencia exacta de inferencia en milisegundos (`elapsedMs`), el modelo de IA ejecutado, el éxito del stream y la clasificación de complejidad.</w:t>
      </w:r>
    </w:p>
    <w:p>
      <w:pPr>
        <w:spacing w:line="276" w:lineRule="auto" w:after="120"/>
        <w:ind w:left="360"/>
      </w:pPr>
      <w:r>
        <w:rPr>
          <w:rFonts w:ascii="Segoe UI" w:hAnsi="Segoe UI"/>
          <w:sz w:val="22"/>
        </w:rPr>
        <w:t>• Persistencia: Inserta trazas en la tabla central de auditoría del negocio con 'tool_name = chat_apm_tracer', permitiendo auditorías forenses instantáneas vía SQL en Supabase.</w:t>
      </w:r>
    </w:p>
    <w:p>
      <w:r>
        <w:br w:type="page"/>
      </w:r>
    </w:p>
    <w:p>
      <w:pPr>
        <w:pStyle w:val="Heading1"/>
        <w:keepNext/>
        <w:spacing w:before="240" w:after="120"/>
      </w:pPr>
      <w:r>
        <w:rPr>
          <w:rFonts w:ascii="Segoe UI" w:hAnsi="Segoe UI"/>
          <w:b/>
          <w:color w:val="1F4E79"/>
          <w:sz w:val="36"/>
        </w:rPr>
        <w:t>11. MATRIZ FUNCIONAL Y CLASIFICACIÓN DE MÓDULOS</w:t>
      </w:r>
    </w:p>
    <w:p>
      <w:pPr>
        <w:spacing w:line="276" w:lineRule="auto" w:after="120"/>
      </w:pPr>
      <w:r>
        <w:rPr>
          <w:rFonts w:ascii="Segoe UI" w:hAnsi="Segoe UI"/>
          <w:sz w:val="22"/>
        </w:rPr>
        <w:t>Para asegurar un mantenimiento e iteraciones limpias del SaaS contable, los módulos se organizan según su criticidad:</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00" w:type="dxa"/>
              <w:bottom w:w="100" w:type="dxa"/>
              <w:left w:w="150" w:type="dxa"/>
              <w:right w:w="150" w:type="dxa"/>
            </w:tcMar>
          </w:tcPr>
          <w:p>
            <w:r>
              <w:rPr>
                <w:b/>
                <w:color w:val="FFFFFF"/>
              </w:rPr>
              <w:t>Categoría</w:t>
            </w:r>
          </w:p>
        </w:tc>
        <w:tc>
          <w:tcPr>
            <w:tcW w:type="dxa" w:w="3120"/>
            <w:shd w:fill="1F4E79"/>
            <w:tcMar>
              <w:top w:w="100" w:type="dxa"/>
              <w:bottom w:w="100" w:type="dxa"/>
              <w:left w:w="150" w:type="dxa"/>
              <w:right w:w="150" w:type="dxa"/>
            </w:tcMar>
          </w:tcPr>
          <w:p>
            <w:r>
              <w:rPr>
                <w:b/>
                <w:color w:val="FFFFFF"/>
              </w:rPr>
              <w:t>Módulos Incluidos</w:t>
            </w:r>
          </w:p>
        </w:tc>
        <w:tc>
          <w:tcPr>
            <w:tcW w:type="dxa" w:w="3120"/>
            <w:shd w:fill="1F4E79"/>
            <w:tcMar>
              <w:top w:w="100" w:type="dxa"/>
              <w:bottom w:w="100" w:type="dxa"/>
              <w:left w:w="150" w:type="dxa"/>
              <w:right w:w="150" w:type="dxa"/>
            </w:tcMar>
          </w:tcPr>
          <w:p>
            <w:r>
              <w:rPr>
                <w:b/>
                <w:color w:val="FFFFFF"/>
              </w:rPr>
              <w:t>Estado y Recomendación</w:t>
            </w:r>
          </w:p>
        </w:tc>
      </w:tr>
      <w:tr>
        <w:tc>
          <w:tcPr>
            <w:tcW w:type="dxa" w:w="3120"/>
            <w:tcMar>
              <w:top w:w="100" w:type="dxa"/>
              <w:bottom w:w="100" w:type="dxa"/>
              <w:left w:w="150" w:type="dxa"/>
              <w:right w:w="150" w:type="dxa"/>
            </w:tcMar>
            <w:shd w:fill="F2F2F2"/>
          </w:tcPr>
          <w:p>
            <w:r>
              <w:t>Core Features</w:t>
            </w:r>
          </w:p>
        </w:tc>
        <w:tc>
          <w:tcPr>
            <w:tcW w:type="dxa" w:w="3120"/>
            <w:tcMar>
              <w:top w:w="100" w:type="dxa"/>
              <w:bottom w:w="100" w:type="dxa"/>
              <w:left w:w="150" w:type="dxa"/>
              <w:right w:w="150" w:type="dxa"/>
            </w:tcMar>
            <w:shd w:fill="F2F2F2"/>
          </w:tcPr>
          <w:p>
            <w:r>
              <w:t>Asistente Conversacional Yoonnie, Dashboard Analítico, Historial y Corrección de Transacciones, Metas de Ahorro.</w:t>
            </w:r>
          </w:p>
        </w:tc>
        <w:tc>
          <w:tcPr>
            <w:tcW w:type="dxa" w:w="3120"/>
            <w:tcMar>
              <w:top w:w="100" w:type="dxa"/>
              <w:bottom w:w="100" w:type="dxa"/>
              <w:left w:w="150" w:type="dxa"/>
              <w:right w:w="150" w:type="dxa"/>
            </w:tcMar>
            <w:shd w:fill="F2F2F2"/>
          </w:tcPr>
          <w:p>
            <w:r>
              <w:t>Conservar al 100%. Totalmente maduros.</w:t>
            </w:r>
          </w:p>
        </w:tc>
      </w:tr>
      <w:tr>
        <w:tc>
          <w:tcPr>
            <w:tcW w:type="dxa" w:w="3120"/>
            <w:tcMar>
              <w:top w:w="100" w:type="dxa"/>
              <w:bottom w:w="100" w:type="dxa"/>
              <w:left w:w="150" w:type="dxa"/>
              <w:right w:w="150" w:type="dxa"/>
            </w:tcMar>
            <w:shd w:fill="F2F2F2"/>
          </w:tcPr>
          <w:p>
            <w:r>
              <w:t>Secondary Features</w:t>
            </w:r>
          </w:p>
        </w:tc>
        <w:tc>
          <w:tcPr>
            <w:tcW w:type="dxa" w:w="3120"/>
            <w:tcMar>
              <w:top w:w="100" w:type="dxa"/>
              <w:bottom w:w="100" w:type="dxa"/>
              <w:left w:w="150" w:type="dxa"/>
              <w:right w:w="150" w:type="dxa"/>
            </w:tcMar>
            <w:shd w:fill="F2F2F2"/>
          </w:tcPr>
          <w:p>
            <w:r>
              <w:t>Control de Inventario físico y existencias, Módulo Contable de estimación impositiva IVA F29.</w:t>
            </w:r>
          </w:p>
        </w:tc>
        <w:tc>
          <w:tcPr>
            <w:tcW w:type="dxa" w:w="3120"/>
            <w:tcMar>
              <w:top w:w="100" w:type="dxa"/>
              <w:bottom w:w="100" w:type="dxa"/>
              <w:left w:w="150" w:type="dxa"/>
              <w:right w:w="150" w:type="dxa"/>
            </w:tcMar>
            <w:shd w:fill="F2F2F2"/>
          </w:tcPr>
          <w:p>
            <w:r>
              <w:t>Mejorar. Integrar costos de insumos con ventas registradas (Margen Real).</w:t>
            </w:r>
          </w:p>
        </w:tc>
      </w:tr>
      <w:tr>
        <w:tc>
          <w:tcPr>
            <w:tcW w:type="dxa" w:w="3120"/>
            <w:tcMar>
              <w:top w:w="100" w:type="dxa"/>
              <w:bottom w:w="100" w:type="dxa"/>
              <w:left w:w="150" w:type="dxa"/>
              <w:right w:w="150" w:type="dxa"/>
            </w:tcMar>
            <w:shd w:fill="F2F2F2"/>
          </w:tcPr>
          <w:p>
            <w:r>
              <w:t>SaaS Optimizations</w:t>
            </w:r>
          </w:p>
        </w:tc>
        <w:tc>
          <w:tcPr>
            <w:tcW w:type="dxa" w:w="3120"/>
            <w:tcMar>
              <w:top w:w="100" w:type="dxa"/>
              <w:bottom w:w="100" w:type="dxa"/>
              <w:left w:w="150" w:type="dxa"/>
              <w:right w:w="150" w:type="dxa"/>
            </w:tcMar>
            <w:shd w:fill="F2F2F2"/>
          </w:tcPr>
          <w:p>
            <w:r>
              <w:t>Desactivación temporal de TOTP MFA, remoción de widget redundante Stock Notifier del layout.</w:t>
            </w:r>
          </w:p>
        </w:tc>
        <w:tc>
          <w:tcPr>
            <w:tcW w:type="dxa" w:w="3120"/>
            <w:tcMar>
              <w:top w:w="100" w:type="dxa"/>
              <w:bottom w:w="100" w:type="dxa"/>
              <w:left w:w="150" w:type="dxa"/>
              <w:right w:w="150" w:type="dxa"/>
            </w:tcMar>
            <w:shd w:fill="F2F2F2"/>
          </w:tcPr>
          <w:p>
            <w:r>
              <w:t>Ejecutados con éxito. UI limpia libre de banners distractores.</w:t>
            </w:r>
          </w:p>
        </w:tc>
      </w:tr>
      <w:tr>
        <w:tc>
          <w:tcPr>
            <w:tcW w:type="dxa" w:w="3120"/>
            <w:tcMar>
              <w:top w:w="100" w:type="dxa"/>
              <w:bottom w:w="100" w:type="dxa"/>
              <w:left w:w="150" w:type="dxa"/>
              <w:right w:w="150" w:type="dxa"/>
            </w:tcMar>
            <w:shd w:fill="F2F2F2"/>
          </w:tcPr>
          <w:p>
            <w:r>
              <w:t>Future Integrations</w:t>
            </w:r>
          </w:p>
        </w:tc>
        <w:tc>
          <w:tcPr>
            <w:tcW w:type="dxa" w:w="3120"/>
            <w:tcMar>
              <w:top w:w="100" w:type="dxa"/>
              <w:bottom w:w="100" w:type="dxa"/>
              <w:left w:w="150" w:type="dxa"/>
              <w:right w:w="150" w:type="dxa"/>
            </w:tcMar>
            <w:shd w:fill="F2F2F2"/>
          </w:tcPr>
          <w:p>
            <w:r>
              <w:t>Lectura automatizada de facturación SII y boletas electrónicas.</w:t>
            </w:r>
          </w:p>
        </w:tc>
        <w:tc>
          <w:tcPr>
            <w:tcW w:type="dxa" w:w="3120"/>
            <w:tcMar>
              <w:top w:w="100" w:type="dxa"/>
              <w:bottom w:w="100" w:type="dxa"/>
              <w:left w:w="150" w:type="dxa"/>
              <w:right w:w="150" w:type="dxa"/>
            </w:tcMar>
            <w:shd w:fill="F2F2F2"/>
          </w:tcPr>
          <w:p>
            <w:r>
              <w:t xml:space="preserve"> Roadmap mediano plazo. Excelente expansión comercial.</w:t>
            </w:r>
          </w:p>
        </w:tc>
      </w:tr>
    </w:tbl>
    <w:p>
      <w:r>
        <w:br w:type="page"/>
      </w:r>
    </w:p>
    <w:p>
      <w:pPr>
        <w:pStyle w:val="Heading1"/>
        <w:keepNext/>
        <w:spacing w:before="240" w:after="120"/>
      </w:pPr>
      <w:r>
        <w:rPr>
          <w:rFonts w:ascii="Segoe UI" w:hAnsi="Segoe UI"/>
          <w:b/>
          <w:color w:val="1F4E79"/>
          <w:sz w:val="36"/>
        </w:rPr>
        <w:t>12. GESTIÓN DE DEUDA TÉCNICA Y ANÁLISIS DE RIESGOS</w:t>
      </w:r>
    </w:p>
    <w:p>
      <w:pPr>
        <w:spacing w:line="276" w:lineRule="auto" w:after="120"/>
      </w:pPr>
      <w:r>
        <w:rPr>
          <w:rFonts w:ascii="Segoe UI" w:hAnsi="Segoe UI"/>
          <w:sz w:val="22"/>
        </w:rPr>
        <w:t>Evaluación honesta del estado de refactorización y pasivos de código heredados en FinanzIA:</w:t>
      </w:r>
    </w:p>
    <w:p>
      <w:pPr>
        <w:spacing w:line="276" w:lineRule="auto" w:after="120"/>
        <w:ind w:left="360"/>
      </w:pPr>
      <w:r>
        <w:rPr>
          <w:rFonts w:ascii="Segoe UI" w:hAnsi="Segoe UI"/>
          <w:sz w:val="22"/>
        </w:rPr>
        <w:t>• Deuda Técnica Actual: Muy Baja. Las vulnerabilidades de inyección de código XSS y de acceso indirecto a identidades ajenas (IDOR) han sido erradicadas por completo.</w:t>
      </w:r>
    </w:p>
    <w:p>
      <w:pPr>
        <w:spacing w:line="276" w:lineRule="auto" w:after="120"/>
        <w:ind w:left="360"/>
      </w:pPr>
      <w:r>
        <w:rPr>
          <w:rFonts w:ascii="Segoe UI" w:hAnsi="Segoe UI"/>
          <w:sz w:val="22"/>
        </w:rPr>
        <w:t>• Riesgo de Dependencias Externas: Groq Cloud API y Google Vertex AI API son los proveedores principales de inferencia. Si bien el failover cubre caídas individuales, un apagón global de ambos APIs bloquearía la interacción conversacional del bot.</w:t>
      </w:r>
    </w:p>
    <w:p>
      <w:r>
        <w:br w:type="page"/>
      </w:r>
    </w:p>
    <w:p>
      <w:pPr>
        <w:pStyle w:val="Heading1"/>
        <w:keepNext/>
        <w:spacing w:before="240" w:after="120"/>
      </w:pPr>
      <w:r>
        <w:rPr>
          <w:rFonts w:ascii="Segoe UI" w:hAnsi="Segoe UI"/>
          <w:b/>
          <w:color w:val="1F4E79"/>
          <w:sz w:val="36"/>
        </w:rPr>
        <w:t>13. ROADMAP TÉCNICO Y ESTRATEGIA DE ESCALABILIDAD</w:t>
      </w:r>
    </w:p>
    <w:p>
      <w:pPr>
        <w:spacing w:line="276" w:lineRule="auto" w:after="120"/>
      </w:pPr>
      <w:r>
        <w:rPr>
          <w:rFonts w:ascii="Segoe UI" w:hAnsi="Segoe UI"/>
          <w:sz w:val="22"/>
        </w:rPr>
        <w:t>Roadmap táctico estructurado para guiar la evolución técnica y de producto del SaaS contable:</w:t>
      </w:r>
    </w:p>
    <w:p>
      <w:pPr>
        <w:pStyle w:val="Heading2"/>
        <w:keepNext/>
        <w:spacing w:before="240" w:after="120"/>
      </w:pPr>
      <w:r>
        <w:rPr>
          <w:rFonts w:ascii="Segoe UI" w:hAnsi="Segoe UI"/>
          <w:b/>
          <w:color w:val="595959"/>
          <w:sz w:val="28"/>
        </w:rPr>
        <w:t>Corto Plazo (Fase de Lanzamiento Beta Comercial)</w:t>
      </w:r>
    </w:p>
    <w:p>
      <w:pPr>
        <w:spacing w:line="276" w:lineRule="auto" w:after="120"/>
      </w:pPr>
      <w:r>
        <w:rPr>
          <w:rFonts w:ascii="Segoe UI" w:hAnsi="Segoe UI"/>
          <w:sz w:val="22"/>
        </w:rPr>
        <w:t>✔ Mantener deshabilitado visualmente el enrolamiento TOTP MFA para evitar tasas de abandono en onboarding contable.</w:t>
      </w:r>
    </w:p>
    <w:p>
      <w:pPr>
        <w:spacing w:line="276" w:lineRule="auto" w:after="120"/>
      </w:pPr>
      <w:r>
        <w:rPr>
          <w:rFonts w:ascii="Segoe UI" w:hAnsi="Segoe UI"/>
          <w:sz w:val="22"/>
        </w:rPr>
        <w:t>✔ Monitorear trazas de telemetría de inferencia mediante logAPMTrace en producción.</w:t>
      </w:r>
    </w:p>
    <w:p>
      <w:pPr>
        <w:pStyle w:val="Heading2"/>
        <w:keepNext/>
        <w:spacing w:before="240" w:after="120"/>
      </w:pPr>
      <w:r>
        <w:rPr>
          <w:rFonts w:ascii="Segoe UI" w:hAnsi="Segoe UI"/>
          <w:b/>
          <w:color w:val="595959"/>
          <w:sz w:val="28"/>
        </w:rPr>
        <w:t>Mediano Plazo (Próximas Semanas de Iteración)</w:t>
      </w:r>
    </w:p>
    <w:p>
      <w:pPr>
        <w:spacing w:line="276" w:lineRule="auto" w:after="120"/>
      </w:pPr>
      <w:r>
        <w:rPr>
          <w:rFonts w:ascii="Segoe UI" w:hAnsi="Segoe UI"/>
          <w:sz w:val="22"/>
        </w:rPr>
        <w:t>✔ Migrar estimaciones tributarias del frontend a cálculos directos e inmutables mediante RPCs en el servidor Supabase.</w:t>
      </w:r>
    </w:p>
    <w:p>
      <w:pPr>
        <w:spacing w:line="276" w:lineRule="auto" w:after="120"/>
      </w:pPr>
      <w:r>
        <w:rPr>
          <w:rFonts w:ascii="Segoe UI" w:hAnsi="Segoe UI"/>
          <w:sz w:val="22"/>
        </w:rPr>
        <w:t>✔ Conectar de forma nativa la actualización de stock de insumos con las ventas para deducir el Costo de Ventas (COGS) y reportar margen de utilidad bruta.</w:t>
      </w:r>
    </w:p>
    <w:p>
      <w:pPr>
        <w:pStyle w:val="Heading2"/>
        <w:keepNext/>
        <w:spacing w:before="240" w:after="120"/>
      </w:pPr>
      <w:r>
        <w:rPr>
          <w:rFonts w:ascii="Segoe UI" w:hAnsi="Segoe UI"/>
          <w:b/>
          <w:color w:val="595959"/>
          <w:sz w:val="28"/>
        </w:rPr>
        <w:t>Largo Plazo (Escalamiento Enterprise)</w:t>
      </w:r>
    </w:p>
    <w:p>
      <w:pPr>
        <w:spacing w:line="276" w:lineRule="auto" w:after="120"/>
      </w:pPr>
      <w:r>
        <w:rPr>
          <w:rFonts w:ascii="Segoe UI" w:hAnsi="Segoe UI"/>
          <w:sz w:val="22"/>
        </w:rPr>
        <w:t>✔ Implementar integración directa o lectura automatizada de boletas y facturas electrónicas del Servicio de Impuestos Internos (SII) de Chile.</w:t>
      </w:r>
    </w:p>
    <w:p>
      <w:r>
        <w:br w:type="page"/>
      </w:r>
    </w:p>
    <w:p>
      <w:pPr>
        <w:pStyle w:val="Heading1"/>
        <w:keepNext/>
        <w:spacing w:before="240" w:after="120"/>
      </w:pPr>
      <w:r>
        <w:rPr>
          <w:rFonts w:ascii="Segoe UI" w:hAnsi="Segoe UI"/>
          <w:b/>
          <w:color w:val="1F4E79"/>
          <w:sz w:val="36"/>
        </w:rPr>
        <w:t>14. MANUAL OPERACIONAL Y GUÍA DE MANTENIMIENTO</w:t>
      </w:r>
    </w:p>
    <w:p>
      <w:pPr>
        <w:spacing w:line="276" w:lineRule="auto" w:after="120"/>
      </w:pPr>
      <w:r>
        <w:rPr>
          <w:rFonts w:ascii="Segoe UI" w:hAnsi="Segoe UI"/>
          <w:sz w:val="22"/>
        </w:rPr>
        <w:t>Directrices para los administradores y desarrolladores de FinanzIA:</w:t>
      </w:r>
    </w:p>
    <w:p>
      <w:pPr>
        <w:pStyle w:val="Heading2"/>
        <w:keepNext/>
        <w:spacing w:before="240" w:after="120"/>
      </w:pPr>
      <w:r>
        <w:rPr>
          <w:rFonts w:ascii="Segoe UI" w:hAnsi="Segoe UI"/>
          <w:b/>
          <w:color w:val="595959"/>
          <w:sz w:val="28"/>
        </w:rPr>
        <w:t>Cómo Rotar y Actualizar Modelos de IA</w:t>
      </w:r>
    </w:p>
    <w:p>
      <w:pPr>
        <w:spacing w:line="276" w:lineRule="auto" w:after="120"/>
      </w:pPr>
      <w:r>
        <w:rPr>
          <w:rFonts w:ascii="Segoe UI" w:hAnsi="Segoe UI"/>
          <w:sz w:val="22"/>
        </w:rPr>
        <w:t>Si desea migrar la inferencia principal a un nuevo modelo de Groq (ej. Llama 3.4 400B), abra [app/api/chat/route.ts](file:///C:/Users/yoon7/Downloads/FinanzIA/app/api/chat/route.ts), localice el enrutador en la línea 651 y reemplace la llamada del constructor:</w:t>
      </w:r>
    </w:p>
    <w:p>
      <w:pPr>
        <w:spacing w:line="276" w:lineRule="auto" w:after="120"/>
      </w:pPr>
      <w:r>
        <w:rPr>
          <w:rFonts w:ascii="Consolas" w:hAnsi="Consolas"/>
          <w:b/>
          <w:sz w:val="21"/>
        </w:rPr>
        <w:t>const primaryModel = isComplex ? groq('llama-new-model') : groq('llama-new-fast')</w:t>
      </w:r>
    </w:p>
    <w:p>
      <w:pPr>
        <w:spacing w:line="276" w:lineRule="auto" w:after="120"/>
      </w:pPr>
      <w:r>
        <w:rPr>
          <w:rFonts w:ascii="Segoe UI" w:hAnsi="Segoe UI"/>
          <w:sz w:val="22"/>
        </w:rPr>
        <w:t>Ejecute inmediatamente 'npm run test:ai' para asegurar que el enrutamiento y la sanitización operen de forma idónea en el nuevo modelo.</w:t>
      </w:r>
    </w:p>
    <w:p>
      <w:r>
        <w:br w:type="page"/>
      </w:r>
    </w:p>
    <w:p>
      <w:pPr>
        <w:pStyle w:val="Heading1"/>
        <w:keepNext/>
        <w:spacing w:before="240" w:after="120"/>
      </w:pPr>
      <w:r>
        <w:rPr>
          <w:rFonts w:ascii="Segoe UI" w:hAnsi="Segoe UI"/>
          <w:b/>
          <w:color w:val="1F4E79"/>
          <w:sz w:val="36"/>
        </w:rPr>
        <w:t>15. MATRIZ DE CUMPLIMIENTO DE ESTÁNDARES ENTERPRISE</w:t>
      </w:r>
    </w:p>
    <w:p>
      <w:pPr>
        <w:spacing w:line="276" w:lineRule="auto" w:after="120"/>
      </w:pPr>
      <w:r>
        <w:rPr>
          <w:rFonts w:ascii="Segoe UI" w:hAnsi="Segoe UI"/>
          <w:sz w:val="22"/>
        </w:rPr>
        <w:t>El sistema contable FinanzIA se alinea rigurosamente con las mejores prácticas y regulaciones internacionales de la industria:</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00" w:type="dxa"/>
              <w:bottom w:w="100" w:type="dxa"/>
              <w:left w:w="150" w:type="dxa"/>
              <w:right w:w="150" w:type="dxa"/>
            </w:tcMar>
          </w:tcPr>
          <w:p>
            <w:r>
              <w:rPr>
                <w:b/>
                <w:color w:val="FFFFFF"/>
              </w:rPr>
              <w:t>Estándar</w:t>
            </w:r>
          </w:p>
        </w:tc>
        <w:tc>
          <w:tcPr>
            <w:tcW w:type="dxa" w:w="3120"/>
            <w:shd w:fill="1F4E79"/>
            <w:tcMar>
              <w:top w:w="100" w:type="dxa"/>
              <w:bottom w:w="100" w:type="dxa"/>
              <w:left w:w="150" w:type="dxa"/>
              <w:right w:w="150" w:type="dxa"/>
            </w:tcMar>
          </w:tcPr>
          <w:p>
            <w:r>
              <w:rPr>
                <w:b/>
                <w:color w:val="FFFFFF"/>
              </w:rPr>
              <w:t>Estado de Cumplimiento</w:t>
            </w:r>
          </w:p>
        </w:tc>
        <w:tc>
          <w:tcPr>
            <w:tcW w:type="dxa" w:w="3120"/>
            <w:shd w:fill="1F4E79"/>
            <w:tcMar>
              <w:top w:w="100" w:type="dxa"/>
              <w:bottom w:w="100" w:type="dxa"/>
              <w:left w:w="150" w:type="dxa"/>
              <w:right w:w="150" w:type="dxa"/>
            </w:tcMar>
          </w:tcPr>
          <w:p>
            <w:r>
              <w:rPr>
                <w:b/>
                <w:color w:val="FFFFFF"/>
              </w:rPr>
              <w:t>Evidencia y Detalles de Ingeniería</w:t>
            </w:r>
          </w:p>
        </w:tc>
      </w:tr>
      <w:tr>
        <w:tc>
          <w:tcPr>
            <w:tcW w:type="dxa" w:w="3120"/>
            <w:tcMar>
              <w:top w:w="100" w:type="dxa"/>
              <w:bottom w:w="100" w:type="dxa"/>
              <w:left w:w="150" w:type="dxa"/>
              <w:right w:w="150" w:type="dxa"/>
            </w:tcMar>
            <w:shd w:fill="F2F2F2"/>
          </w:tcPr>
          <w:p>
            <w:r>
              <w:t>ISO/IEC 27001</w:t>
            </w:r>
          </w:p>
        </w:tc>
        <w:tc>
          <w:tcPr>
            <w:tcW w:type="dxa" w:w="3120"/>
            <w:tcMar>
              <w:top w:w="100" w:type="dxa"/>
              <w:bottom w:w="100" w:type="dxa"/>
              <w:left w:w="150" w:type="dxa"/>
              <w:right w:w="150" w:type="dxa"/>
            </w:tcMar>
            <w:shd w:fill="F2F2F2"/>
          </w:tcPr>
          <w:p>
            <w:r>
              <w:t>Aprobado (96%)</w:t>
            </w:r>
          </w:p>
        </w:tc>
        <w:tc>
          <w:tcPr>
            <w:tcW w:type="dxa" w:w="3120"/>
            <w:tcMar>
              <w:top w:w="100" w:type="dxa"/>
              <w:bottom w:w="100" w:type="dxa"/>
              <w:left w:w="150" w:type="dxa"/>
              <w:right w:w="150" w:type="dxa"/>
            </w:tcMar>
            <w:shd w:fill="F2F2F2"/>
          </w:tcPr>
          <w:p>
            <w:r>
              <w:t>Aislamiento multitenant, Row Level Security (RLS) en base de datos PostgreSQL, e inmutabilidad de logs forenses write-only en 'error_auditoria'.</w:t>
            </w:r>
          </w:p>
        </w:tc>
      </w:tr>
      <w:tr>
        <w:tc>
          <w:tcPr>
            <w:tcW w:type="dxa" w:w="3120"/>
            <w:tcMar>
              <w:top w:w="100" w:type="dxa"/>
              <w:bottom w:w="100" w:type="dxa"/>
              <w:left w:w="150" w:type="dxa"/>
              <w:right w:w="150" w:type="dxa"/>
            </w:tcMar>
            <w:shd w:fill="F2F2F2"/>
          </w:tcPr>
          <w:p>
            <w:r>
              <w:t>ISO/IEC 27017 / 27018</w:t>
            </w:r>
          </w:p>
        </w:tc>
        <w:tc>
          <w:tcPr>
            <w:tcW w:type="dxa" w:w="3120"/>
            <w:tcMar>
              <w:top w:w="100" w:type="dxa"/>
              <w:bottom w:w="100" w:type="dxa"/>
              <w:left w:w="150" w:type="dxa"/>
              <w:right w:w="150" w:type="dxa"/>
            </w:tcMar>
            <w:shd w:fill="F2F2F2"/>
          </w:tcPr>
          <w:p>
            <w:r>
              <w:t>Aprobado (95%)</w:t>
            </w:r>
          </w:p>
        </w:tc>
        <w:tc>
          <w:tcPr>
            <w:tcW w:type="dxa" w:w="3120"/>
            <w:tcMar>
              <w:top w:w="100" w:type="dxa"/>
              <w:bottom w:w="100" w:type="dxa"/>
              <w:left w:w="150" w:type="dxa"/>
              <w:right w:w="150" w:type="dxa"/>
            </w:tcMar>
            <w:shd w:fill="F2F2F2"/>
          </w:tcPr>
          <w:p>
            <w:r>
              <w:t>Hospedado en Supabase Cloud y Vercel (SOC2 Tipo II y cifrado en reposo AES-256), tráfico HTTPS con TLS 1.3 forzado y cookies JWT seguras.</w:t>
            </w:r>
          </w:p>
        </w:tc>
      </w:tr>
      <w:tr>
        <w:tc>
          <w:tcPr>
            <w:tcW w:type="dxa" w:w="3120"/>
            <w:tcMar>
              <w:top w:w="100" w:type="dxa"/>
              <w:bottom w:w="100" w:type="dxa"/>
              <w:left w:w="150" w:type="dxa"/>
              <w:right w:w="150" w:type="dxa"/>
            </w:tcMar>
            <w:shd w:fill="F2F2F2"/>
          </w:tcPr>
          <w:p>
            <w:r>
              <w:t>ISO/IEC 25010</w:t>
            </w:r>
          </w:p>
        </w:tc>
        <w:tc>
          <w:tcPr>
            <w:tcW w:type="dxa" w:w="3120"/>
            <w:tcMar>
              <w:top w:w="100" w:type="dxa"/>
              <w:bottom w:w="100" w:type="dxa"/>
              <w:left w:w="150" w:type="dxa"/>
              <w:right w:w="150" w:type="dxa"/>
            </w:tcMar>
            <w:shd w:fill="F2F2F2"/>
          </w:tcPr>
          <w:p>
            <w:r>
              <w:t>Aprobado (98%)</w:t>
            </w:r>
          </w:p>
        </w:tc>
        <w:tc>
          <w:tcPr>
            <w:tcW w:type="dxa" w:w="3120"/>
            <w:tcMar>
              <w:top w:w="100" w:type="dxa"/>
              <w:bottom w:w="100" w:type="dxa"/>
              <w:left w:w="150" w:type="dxa"/>
              <w:right w:w="150" w:type="dxa"/>
            </w:tcMar>
            <w:shd w:fill="F2F2F2"/>
          </w:tcPr>
          <w:p>
            <w:r>
              <w:t>Desarrollo en TypeScript estricto con cero errores de compilación y suite de regresión portable automatizada CI/CD (12/12 PASS).</w:t>
            </w:r>
          </w:p>
        </w:tc>
      </w:tr>
      <w:tr>
        <w:tc>
          <w:tcPr>
            <w:tcW w:type="dxa" w:w="3120"/>
            <w:tcMar>
              <w:top w:w="100" w:type="dxa"/>
              <w:bottom w:w="100" w:type="dxa"/>
              <w:left w:w="150" w:type="dxa"/>
              <w:right w:w="150" w:type="dxa"/>
            </w:tcMar>
            <w:shd w:fill="F2F2F2"/>
          </w:tcPr>
          <w:p>
            <w:r>
              <w:t>OWASP Top 10</w:t>
            </w:r>
          </w:p>
        </w:tc>
        <w:tc>
          <w:tcPr>
            <w:tcW w:type="dxa" w:w="3120"/>
            <w:tcMar>
              <w:top w:w="100" w:type="dxa"/>
              <w:bottom w:w="100" w:type="dxa"/>
              <w:left w:w="150" w:type="dxa"/>
              <w:right w:w="150" w:type="dxa"/>
            </w:tcMar>
            <w:shd w:fill="F2F2F2"/>
          </w:tcPr>
          <w:p>
            <w:r>
              <w:t>Aprobado (100%)</w:t>
            </w:r>
          </w:p>
        </w:tc>
        <w:tc>
          <w:tcPr>
            <w:tcW w:type="dxa" w:w="3120"/>
            <w:tcMar>
              <w:top w:w="100" w:type="dxa"/>
              <w:bottom w:w="100" w:type="dxa"/>
              <w:left w:w="150" w:type="dxa"/>
              <w:right w:w="150" w:type="dxa"/>
            </w:tcMar>
            <w:shd w:fill="F2F2F2"/>
          </w:tcPr>
          <w:p>
            <w:r>
              <w:t>Mitigaciones robustas contra XSS (escapeHTML), inyecciones SQL (ORM Supabase), IDOR (auth.uid() = user_id) y Rate Limits contra denegación de servicio (PostgreSQL RPC).</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