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Образовательная деятельность СПО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Наименование показателя</w:t>
            </w:r>
          </w:p>
        </w:tc>
        <w:tc>
          <w:tcPr>
            <w:tcW w:type="dxa" w:w="4320"/>
          </w:tcPr>
          <w:p>
            <w:r>
              <w:t>Значение показателя</w:t>
            </w:r>
          </w:p>
        </w:tc>
      </w:tr>
      <w:tr>
        <w:tc>
          <w:tcPr>
            <w:tcW w:type="dxa" w:w="4320"/>
          </w:tcPr>
          <w:p>
            <w:r>
              <w:t>Общая численость студентов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1.2 Удельный вес численности студентов, обучающихся по очной форме обучения в общей численности студентов</w:t>
            </w:r>
          </w:p>
        </w:tc>
        <w:tc>
          <w:tcPr>
            <w:tcW w:type="dxa" w:w="4320"/>
          </w:tcPr>
          <w:p>
            <w:r>
              <w:t>33.33%</w:t>
            </w:r>
          </w:p>
        </w:tc>
      </w:tr>
      <w:tr>
        <w:tc>
          <w:tcPr>
            <w:tcW w:type="dxa" w:w="4320"/>
          </w:tcPr>
          <w:p>
            <w:r>
              <w:t>1.3 Удельный вес численности студентов, обучающихся за счет средств соответствующих бюджетов бюджетной системы РФ в общей численности студентов</w:t>
            </w:r>
          </w:p>
        </w:tc>
        <w:tc>
          <w:tcPr>
            <w:tcW w:type="dxa" w:w="4320"/>
          </w:tcPr>
          <w:p>
            <w:r>
              <w:t>60.00%</w:t>
            </w:r>
          </w:p>
        </w:tc>
      </w:tr>
      <w:tr>
        <w:tc>
          <w:tcPr>
            <w:tcW w:type="dxa" w:w="4320"/>
          </w:tcPr>
          <w:p>
            <w:r>
              <w:t>1.4 Общая численность студентов, обучающихся по профессиям и специальностям, соответсвующим списку 50 наиболее востребованных на рынке труда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1.4.1 Удельный вес численности студентов, обучающихся по профессиям и специальностям, соответсвующим списку 50 наиболее востребованных на рынке труда, в общей численности студентов</w:t>
            </w:r>
          </w:p>
        </w:tc>
        <w:tc>
          <w:tcPr>
            <w:tcW w:type="dxa" w:w="4320"/>
          </w:tcPr>
          <w:p>
            <w:r>
              <w:t>4.67%</w:t>
            </w:r>
          </w:p>
        </w:tc>
      </w:tr>
      <w:tr>
        <w:tc>
          <w:tcPr>
            <w:tcW w:type="dxa" w:w="4320"/>
          </w:tcPr>
          <w:p>
            <w:r>
              <w:t>&lt;html&gt;&lt;head/&gt;&lt;body&gt;&lt;p&gt;1.5 Средний балл аттестата об &lt;span style=" font-weight:600;"&gt;основном&lt;/span&gt; общем образовании и результатов отбора студентов, принятых на обучение по &lt;span style=" text-decoration: underline;"&gt;очной&lt;/span&gt; форме обучения(бюджетники) &lt;/p&gt;&lt;/body&gt;&lt;/html&gt;</w:t>
            </w:r>
          </w:p>
        </w:tc>
        <w:tc>
          <w:tcPr>
            <w:tcW w:type="dxa" w:w="4320"/>
          </w:tcPr>
          <w:p>
            <w:r>
              <w:t>4.50</w:t>
            </w:r>
          </w:p>
        </w:tc>
      </w:tr>
      <w:tr>
        <w:tc>
          <w:tcPr>
            <w:tcW w:type="dxa" w:w="4320"/>
          </w:tcPr>
          <w:p>
            <w:r>
              <w:t>&lt;html&gt;&lt;head/&gt;&lt;body&gt;&lt;p&gt;1.5.1 Средний балл аттестата об &lt;span style=" font-weight:600;"&gt;основном&lt;/span&gt; общем образовании и результатов отбора студентов, принятых на обучение по &lt;span style=" text-decoration: underline;"&gt;очной&lt;/span&gt; форме обучения(платники) &lt;/p&gt;&lt;/body&gt;&lt;/html&gt;</w:t>
            </w:r>
          </w:p>
        </w:tc>
        <w:tc>
          <w:tcPr>
            <w:tcW w:type="dxa" w:w="4320"/>
          </w:tcPr>
          <w:p>
            <w:r>
              <w:t>4.00</w:t>
            </w:r>
          </w:p>
        </w:tc>
      </w:tr>
      <w:tr>
        <w:tc>
          <w:tcPr>
            <w:tcW w:type="dxa" w:w="4320"/>
          </w:tcPr>
          <w:p>
            <w:r>
              <w:t>&lt;html&gt;&lt;head/&gt;&lt;body&gt;&lt;p&gt;1.6 Средний балл аттестата об &lt;span style=" font-weight:600;"&gt;среднем&lt;/span&gt; общем образовании и результатов отбора студентов, принятых на обучение по очной форме обучения(бюджетники) &lt;/p&gt;&lt;/body&gt;&lt;/html&gt;</w:t>
            </w:r>
          </w:p>
        </w:tc>
        <w:tc>
          <w:tcPr>
            <w:tcW w:type="dxa" w:w="4320"/>
          </w:tcPr>
          <w:p>
            <w:r>
              <w:t>4.90</w:t>
            </w:r>
          </w:p>
        </w:tc>
      </w:tr>
      <w:tr>
        <w:tc>
          <w:tcPr>
            <w:tcW w:type="dxa" w:w="4320"/>
          </w:tcPr>
          <w:p>
            <w:r>
              <w:t>&lt;html&gt;&lt;head/&gt;&lt;body&gt;&lt;p&gt;1.6.1 Средний балл аттестата об &lt;span style=" font-weight:600;"&gt;среднем&lt;/span&gt; общем образовании и результатов отбора студентов, принятых на обучение по очной форме обучения(платники) &lt;/p&gt;&lt;/body&gt;&lt;/html&gt;</w:t>
            </w:r>
          </w:p>
        </w:tc>
        <w:tc>
          <w:tcPr>
            <w:tcW w:type="dxa" w:w="4320"/>
          </w:tcPr>
          <w:p>
            <w:r>
              <w:t>4.20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