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0.32°, F 58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총자력뿐 아니라 편각·복각에도 기여한다. 항공자력이 주는 스칼라 이상은 이상벡터를 주자기장 방향으로 투영한 값이므로, 파수영역 역산으로 벡터 3성분을 복원해 방향 성분에 반영하였다.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3</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0.426°</w:t>
            </w:r>
          </w:p>
        </w:tc>
        <w:tc>
          <w:tcPr>
            <w:tcW w:type="dxa" w:w="1728"/>
          </w:tcPr>
          <w:p>
            <w:pPr>
              <w:jc w:val="center"/>
            </w:pPr>
            <w:r/>
            <w:r>
              <w:rPr>
                <w:rFonts w:ascii="맑은 고딕" w:hAnsi="맑은 고딕"/>
                <w:sz w:val="18"/>
              </w:rPr>
              <w:t>0.388°</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11</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0.177°</w:t>
            </w:r>
          </w:p>
        </w:tc>
        <w:tc>
          <w:tcPr>
            <w:tcW w:type="dxa" w:w="1728"/>
            <w:shd w:val="clear" w:color="auto" w:fill="F2F4F7"/>
          </w:tcPr>
          <w:p>
            <w:pPr>
              <w:jc w:val="center"/>
            </w:pPr>
            <w:r/>
            <w:r>
              <w:rPr>
                <w:rFonts w:ascii="맑은 고딕" w:hAnsi="맑은 고딕"/>
                <w:sz w:val="18"/>
              </w:rPr>
              <w:t>0.056°</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8</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79.9 nT</w:t>
            </w:r>
          </w:p>
        </w:tc>
        <w:tc>
          <w:tcPr>
            <w:tcW w:type="dxa" w:w="1728"/>
          </w:tcPr>
          <w:p>
            <w:pPr>
              <w:jc w:val="center"/>
            </w:pPr>
            <w:r/>
            <w:r>
              <w:rPr>
                <w:rFonts w:ascii="맑은 고딕" w:hAnsi="맑은 고딕"/>
                <w:sz w:val="18"/>
              </w:rPr>
              <w:t>47.0 nT</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11</w:t>
            </w:r>
          </w:p>
        </w:tc>
      </w:tr>
    </w:tbl>
    <w:p/>
    <w:p>
      <w:r>
        <w:rPr>
          <w:rFonts w:ascii="맑은 고딕" w:hAnsi="맑은 고딕"/>
          <w:b w:val="0"/>
          <w:sz w:val="21"/>
        </w:rPr>
        <w:t>지각층은 총자력뿐 아니라 편각·복각에도 기여한다. 항공자력이 주는 스칼라 이상은 이상벡터를 주자기장 방향으로 투영한 값이므로, 파수영역 역산으로 벡터 3성분을 복원해 IGRF 벡터에 더한 뒤 각을 다시 잰다. 위 표의 「+ Crustal」 열이 그 단계다.</w:t>
      </w:r>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0.323°</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0.043°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58.4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적합 통과 / LOO 미달</w:t>
            </w:r>
          </w:p>
        </w:tc>
      </w:tr>
    </w:tbl>
    <w:p/>
    <w:p>
      <w:r>
        <w:rPr>
          <w:rFonts w:ascii="맑은 고딕" w:hAnsi="맑은 고딕"/>
          <w:b w:val="0"/>
          <w:sz w:val="21"/>
        </w:rPr>
        <w:t>주의 — 복각의 평가 측점이 8개로 편각(11개)보다 적다. 지각 벡터를 반영하면서 복각 잔차가 줄자 강건 적합의 채택 범위가 좁아진 결과이므로, 복각 교차검증값은 남은 측점에 대한 값으로 읽어야 하며 전체 성능으로 일반화할 수 없다.</w:t>
      </w:r>
    </w:p>
    <w:p>
      <w:pPr>
        <w:pStyle w:val="Heading2"/>
      </w:pPr>
      <w:r>
        <w:t>3.3 Crustal 층 설명력</w:t>
      </w:r>
    </w:p>
    <w:p>
      <w:r>
        <w:rPr>
          <w:rFonts w:ascii="맑은 고딕" w:hAnsi="맑은 고딕"/>
          <w:b w:val="0"/>
          <w:sz w:val="21"/>
        </w:rPr>
        <w:t>KIGAM 전국 격자가 지표 점 잔차를 설명하는 정도: 상관계수 r = +0.534, RMS 79.9 → 47.0 nT (41.2% 감소, n = 11).</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11개에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0.323°</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0.043°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58.4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+0.534</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