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20일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0.50°, F 63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총자력에 1:1 로 결합한다. 결합계수를 자료로 추정해 보았으나(α = 0.67) 교차검증 오차가 오히려 커져 α = 1 을 유지하였다. 스칼라 이상에서 벡터 3성분을 복원해 편각·복각에 반영하는 방안은 격자 결측을 0 으로 채운 역산이라 현재는 진단 전용으로 둔다. ④ External 층은 관측 성과 정리 단계에서 편각·복각에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0.531°</w:t>
            </w:r>
          </w:p>
        </w:tc>
        <w:tc>
          <w:tcPr>
            <w:tcW w:type="dxa" w:w="1728"/>
          </w:tcPr>
          <w:p>
            <w:pPr>
              <w:jc w:val="center"/>
            </w:pPr>
            <w:r/>
            <w:r>
              <w:rPr>
                <w:rFonts w:ascii="맑은 고딕" w:hAnsi="맑은 고딕"/>
                <w:sz w:val="18"/>
              </w:rPr>
              <w:t>—</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14</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0.289°</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15</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87.0 nT</w:t>
            </w:r>
          </w:p>
        </w:tc>
        <w:tc>
          <w:tcPr>
            <w:tcW w:type="dxa" w:w="1728"/>
          </w:tcPr>
          <w:p>
            <w:pPr>
              <w:jc w:val="center"/>
            </w:pPr>
            <w:r/>
            <w:r>
              <w:rPr>
                <w:rFonts w:ascii="맑은 고딕" w:hAnsi="맑은 고딕"/>
                <w:sz w:val="18"/>
              </w:rPr>
              <w:t>58.8 nT</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13</w:t>
            </w:r>
          </w:p>
        </w:tc>
      </w:tr>
    </w:tbl>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0.480°</w:t>
            </w:r>
          </w:p>
        </w:tc>
        <w:tc>
          <w:tcPr>
            <w:tcW w:type="dxa" w:w="1728"/>
          </w:tcPr>
          <w:p>
            <w:pPr>
              <w:jc w:val="center"/>
            </w:pPr>
            <w:r/>
            <w:r>
              <w:rPr>
                <w:rFonts w:ascii="맑은 고딕" w:hAnsi="맑은 고딕"/>
                <w:sz w:val="18"/>
              </w:rPr>
              <w:t>0.499°</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0.226°</w:t>
            </w:r>
          </w:p>
        </w:tc>
        <w:tc>
          <w:tcPr>
            <w:tcW w:type="dxa" w:w="1728"/>
            <w:shd w:val="clear" w:color="auto" w:fill="F2F4F7"/>
          </w:tcPr>
          <w:p>
            <w:pPr>
              <w:jc w:val="center"/>
            </w:pPr>
            <w:r/>
            <w:r>
              <w:rPr>
                <w:rFonts w:ascii="맑은 고딕" w:hAnsi="맑은 고딕"/>
                <w:sz w:val="18"/>
              </w:rPr>
              <w:t>0.243°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63.0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미달</w:t>
            </w:r>
          </w:p>
        </w:tc>
      </w:tr>
    </w:tbl>
    <w:p/>
    <w:p>
      <w:pPr>
        <w:pStyle w:val="Heading2"/>
      </w:pPr>
      <w:r>
        <w:t>3.3 Crustal 층 설명력</w:t>
      </w:r>
    </w:p>
    <w:p>
      <w:r>
        <w:rPr>
          <w:rFonts w:ascii="맑은 고딕" w:hAnsi="맑은 고딕"/>
          <w:b w:val="0"/>
          <w:sz w:val="21"/>
        </w:rPr>
        <w:t>KIGAM 전국 격자가 지표 점 잔차를 설명하는 정도: 상관계수 r = +0.498, RMS 87.0 → 58.8 nT (32.5% 감소, n = 13).</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13개에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0.499°</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0.243°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63.0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+0.498</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편각은 편각 관측 구간, 복각은 복각 관측 구간의 보정량으로 각각 빼는 것이다. 총자력에는 적용하지 않는다 — 야장에 F 관측시각이 없어 세션 전체 구간으로 대신할 수밖에 없기 때문이다. 층이 결합되어 있어 순차 튜닝이 성립하지 않으므로 방식마다 처음부터 다시 적합하고, 평가 측점을 한 번만 정해 고정한 채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편각 D</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0.5123°</w:t>
            </w:r>
          </w:p>
        </w:tc>
        <w:tc>
          <w:tcPr>
            <w:tcW w:type="dxa" w:w="2160"/>
          </w:tcPr>
          <w:p>
            <w:pPr>
              <w:jc w:val="center"/>
            </w:pPr>
            <w:r/>
            <w:r>
              <w:rPr>
                <w:rFonts w:ascii="맑은 고딕" w:hAnsi="맑은 고딕"/>
                <w:sz w:val="18"/>
              </w:rPr>
              <w:t>기준선</w:t>
            </w:r>
          </w:p>
        </w:tc>
      </w:tr>
      <w:tr>
        <w:trPr>
          <w:cantSplit/>
        </w:trPr>
        <w:tc>
          <w:tcPr>
            <w:tcW w:type="dxa" w:w="2160"/>
            <w:shd w:val="clear" w:color="auto" w:fill="F2F4F7"/>
          </w:tcPr>
          <w:p>
            <w:r/>
            <w:r>
              <w:rPr>
                <w:rFonts w:ascii="맑은 고딕" w:hAnsi="맑은 고딕"/>
                <w:sz w:val="18"/>
              </w:rPr>
              <w:t>편각만</w:t>
            </w:r>
          </w:p>
        </w:tc>
        <w:tc>
          <w:tcPr>
            <w:tcW w:type="dxa" w:w="2160"/>
            <w:shd w:val="clear" w:color="auto" w:fill="F2F4F7"/>
          </w:tcPr>
          <w:p>
            <w:pPr>
              <w:jc w:val="center"/>
            </w:pPr>
            <w:r/>
            <w:r>
              <w:rPr>
                <w:rFonts w:ascii="맑은 고딕" w:hAnsi="맑은 고딕"/>
                <w:sz w:val="18"/>
              </w:rPr>
              <w:t>청양 단독 (E0)</w:t>
            </w:r>
          </w:p>
        </w:tc>
        <w:tc>
          <w:tcPr>
            <w:tcW w:type="dxa" w:w="2160"/>
            <w:shd w:val="clear" w:color="auto" w:fill="F2F4F7"/>
          </w:tcPr>
          <w:p>
            <w:pPr>
              <w:jc w:val="center"/>
            </w:pPr>
            <w:r/>
            <w:r>
              <w:rPr>
                <w:rFonts w:ascii="맑은 고딕" w:hAnsi="맑은 고딕"/>
                <w:sz w:val="18"/>
              </w:rPr>
              <w:t>0.5495°</w:t>
            </w:r>
          </w:p>
        </w:tc>
        <w:tc>
          <w:tcPr>
            <w:tcW w:type="dxa" w:w="2160"/>
            <w:shd w:val="clear" w:color="auto" w:fill="F2F4F7"/>
          </w:tcPr>
          <w:p>
            <w:pPr>
              <w:jc w:val="center"/>
            </w:pPr>
            <w:r/>
            <w:r>
              <w:rPr>
                <w:rFonts w:ascii="맑은 고딕" w:hAnsi="맑은 고딕"/>
                <w:sz w:val="18"/>
              </w:rPr>
              <w:t>기각</w:t>
            </w:r>
          </w:p>
        </w:tc>
      </w:tr>
      <w:tr>
        <w:trPr>
          <w:cantSplit/>
        </w:trPr>
        <w:tc>
          <w:tcPr>
            <w:tcW w:type="dxa" w:w="2160"/>
          </w:tcPr>
          <w:p>
            <w:r/>
            <w:r>
              <w:rPr>
                <w:rFonts w:ascii="맑은 고딕" w:hAnsi="맑은 고딕"/>
                <w:sz w:val="18"/>
              </w:rPr>
              <w:t>편각만</w:t>
            </w:r>
          </w:p>
        </w:tc>
        <w:tc>
          <w:tcPr>
            <w:tcW w:type="dxa" w:w="2160"/>
          </w:tcPr>
          <w:p>
            <w:pPr>
              <w:jc w:val="center"/>
            </w:pPr>
            <w:r/>
            <w:r>
              <w:rPr>
                <w:rFonts w:ascii="맑은 고딕" w:hAnsi="맑은 고딕"/>
                <w:sz w:val="18"/>
              </w:rPr>
              <w:t>최근접 관측소 (E1)</w:t>
            </w:r>
          </w:p>
        </w:tc>
        <w:tc>
          <w:tcPr>
            <w:tcW w:type="dxa" w:w="2160"/>
          </w:tcPr>
          <w:p>
            <w:pPr>
              <w:jc w:val="center"/>
            </w:pPr>
            <w:r/>
            <w:r>
              <w:rPr>
                <w:rFonts w:ascii="맑은 고딕" w:hAnsi="맑은 고딕"/>
                <w:sz w:val="18"/>
              </w:rPr>
              <w:t>0.5504°</w:t>
            </w:r>
          </w:p>
        </w:tc>
        <w:tc>
          <w:tcPr>
            <w:tcW w:type="dxa" w:w="2160"/>
          </w:tcPr>
          <w:p>
            <w:pPr>
              <w:jc w:val="center"/>
            </w:pPr>
            <w:r/>
            <w:r>
              <w:rPr>
                <w:rFonts w:ascii="맑은 고딕" w:hAnsi="맑은 고딕"/>
                <w:sz w:val="18"/>
              </w:rPr>
              <w:t>기각</w:t>
            </w:r>
          </w:p>
        </w:tc>
      </w:tr>
      <w:tr>
        <w:trPr>
          <w:cantSplit/>
        </w:trPr>
        <w:tc>
          <w:tcPr>
            <w:tcW w:type="dxa" w:w="2160"/>
            <w:shd w:val="clear" w:color="auto" w:fill="F2F4F7"/>
          </w:tcPr>
          <w:p>
            <w:r/>
            <w:r>
              <w:rPr>
                <w:rFonts w:ascii="맑은 고딕" w:hAnsi="맑은 고딕"/>
                <w:sz w:val="18"/>
              </w:rPr>
              <w:t>편각·복각</w:t>
            </w:r>
          </w:p>
        </w:tc>
        <w:tc>
          <w:tcPr>
            <w:tcW w:type="dxa" w:w="2160"/>
            <w:shd w:val="clear" w:color="auto" w:fill="F2F4F7"/>
          </w:tcPr>
          <w:p>
            <w:pPr>
              <w:jc w:val="center"/>
            </w:pPr>
            <w:r/>
            <w:r>
              <w:rPr>
                <w:rFonts w:ascii="맑은 고딕" w:hAnsi="맑은 고딕"/>
                <w:sz w:val="18"/>
              </w:rPr>
              <w:t>관측소 4소 (E2)</w:t>
            </w:r>
          </w:p>
        </w:tc>
        <w:tc>
          <w:tcPr>
            <w:tcW w:type="dxa" w:w="2160"/>
            <w:shd w:val="clear" w:color="auto" w:fill="F2F4F7"/>
          </w:tcPr>
          <w:p>
            <w:pPr>
              <w:jc w:val="center"/>
            </w:pPr>
            <w:r/>
            <w:r>
              <w:rPr>
                <w:rFonts w:ascii="맑은 고딕" w:hAnsi="맑은 고딕"/>
                <w:sz w:val="18"/>
              </w:rPr>
              <w:t>0.4987°</w:t>
            </w:r>
          </w:p>
        </w:tc>
        <w:tc>
          <w:tcPr>
            <w:tcW w:type="dxa" w:w="2160"/>
            <w:shd w:val="clear" w:color="auto" w:fill="F2F4F7"/>
          </w:tcPr>
          <w:p>
            <w:pPr>
              <w:jc w:val="center"/>
            </w:pPr>
            <w:r/>
            <w:r>
              <w:rPr>
                <w:rFonts w:ascii="맑은 고딕" w:hAnsi="맑은 고딕"/>
                <w:sz w:val="18"/>
              </w:rPr>
              <w:t>채택(잠정)</w:t>
            </w:r>
          </w:p>
        </w:tc>
      </w:tr>
      <w:tr>
        <w:trPr>
          <w:cantSplit/>
        </w:trPr>
        <w:tc>
          <w:tcPr>
            <w:tcW w:type="dxa" w:w="2160"/>
          </w:tcPr>
          <w:p>
            <w:r/>
            <w:r>
              <w:rPr>
                <w:rFonts w:ascii="맑은 고딕" w:hAnsi="맑은 고딕"/>
                <w:sz w:val="18"/>
              </w:rPr>
              <w:t>편각·복각</w:t>
            </w:r>
          </w:p>
        </w:tc>
        <w:tc>
          <w:tcPr>
            <w:tcW w:type="dxa" w:w="2160"/>
          </w:tcPr>
          <w:p>
            <w:pPr>
              <w:jc w:val="center"/>
            </w:pPr>
            <w:r/>
            <w:r>
              <w:rPr>
                <w:rFonts w:ascii="맑은 고딕" w:hAnsi="맑은 고딕"/>
                <w:sz w:val="18"/>
              </w:rPr>
              <w:t>4소 역거리가중</w:t>
            </w:r>
          </w:p>
        </w:tc>
        <w:tc>
          <w:tcPr>
            <w:tcW w:type="dxa" w:w="2160"/>
          </w:tcPr>
          <w:p>
            <w:pPr>
              <w:jc w:val="center"/>
            </w:pPr>
            <w:r/>
            <w:r>
              <w:rPr>
                <w:rFonts w:ascii="맑은 고딕" w:hAnsi="맑은 고딕"/>
                <w:sz w:val="18"/>
              </w:rPr>
              <w:t>0.5595°</w:t>
            </w:r>
          </w:p>
        </w:tc>
        <w:tc>
          <w:tcPr>
            <w:tcW w:type="dxa" w:w="2160"/>
          </w:tcPr>
          <w:p>
            <w:pPr>
              <w:jc w:val="center"/>
            </w:pPr>
            <w:r/>
            <w:r>
              <w:rPr>
                <w:rFonts w:ascii="맑은 고딕" w:hAnsi="맑은 고딕"/>
                <w:sz w:val="18"/>
              </w:rPr>
              <w:t>기각</w:t>
            </w:r>
          </w:p>
        </w:tc>
      </w:tr>
    </w:tbl>
    <w:p/>
    <w:p>
      <w:r>
        <w:rPr>
          <w:rFonts w:ascii="맑은 고딕" w:hAnsi="맑은 고딕"/>
          <w:b w:val="0"/>
          <w:sz w:val="19"/>
        </w:rPr>
        <w:t>단일 관측소(E0)와 최근접 관측소(E1)는 오히려 기준선보다 나쁘다. 「가장 가까운 상시관측소와 변화가 같다」는 가정이 한반도 규모에서 성립하지 않는다는 뜻이며, 공간보간만이 이득을 낸다. 다만 개선폭이 0.014°로 작고 여러 설정 중 최소값을 고른 것이므로, 채택 근거는 폭이 아니라 방식의 물리적 타당성에 있다. 상시관측소의 좌표축·기준선 규약 문서를 확보하기 전까지 잠정(provisional) 채택으로 표기한다.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일변화 보정 적용 여부 — 확인 완료</w:t>
      </w:r>
    </w:p>
    <w:p>
      <w:r>
        <w:rPr>
          <w:rFonts w:ascii="맑은 고딕" w:hAnsi="맑은 고딕"/>
          <w:b w:val="0"/>
          <w:sz w:val="21"/>
        </w:rPr>
        <w:t>지구물리측량 작업규정 제21조는 「동일시간에 상시 측정 기준점의 측정값과 비교 검토」하여 일변화와 영년변화를 보정하도록 정한다. 성과표에 이미 보정이 적용되어 있다면 본 연구가 다시 보정할 때 이중보정이 되므로, 이 여부를 두 가지 방법으로 직접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확인 방법</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결과</w:t>
            </w:r>
          </w:p>
        </w:tc>
      </w:tr>
      <w:tr>
        <w:trPr>
          <w:cantSplit/>
        </w:trPr>
        <w:tc>
          <w:tcPr>
            <w:tcW w:type="dxa" w:w="2880"/>
          </w:tcPr>
          <w:p>
            <w:r/>
            <w:r>
              <w:rPr>
                <w:rFonts w:ascii="맑은 고딕" w:hAnsi="맑은 고딕"/>
                <w:sz w:val="18"/>
              </w:rPr>
              <w:t>① 야장 직접 대조</w:t>
            </w:r>
          </w:p>
        </w:tc>
        <w:tc>
          <w:tcPr>
            <w:tcW w:type="dxa" w:w="2880"/>
          </w:tcPr>
          <w:p>
            <w:pPr>
              <w:jc w:val="center"/>
            </w:pPr>
            <w:r/>
            <w:r>
              <w:rPr>
                <w:rFonts w:ascii="맑은 고딕" w:hAnsi="맑은 고딕"/>
                <w:sz w:val="18"/>
              </w:rPr>
              <w:t>성과표 값과 야장 세션평균을 매칭 18행에서 비교</w:t>
            </w:r>
          </w:p>
        </w:tc>
        <w:tc>
          <w:tcPr>
            <w:tcW w:type="dxa" w:w="2880"/>
          </w:tcPr>
          <w:p>
            <w:pPr>
              <w:jc w:val="center"/>
            </w:pPr>
            <w:r/>
            <w:r>
              <w:rPr>
                <w:rFonts w:ascii="맑은 고딕" w:hAnsi="맑은 고딕"/>
                <w:sz w:val="18"/>
              </w:rPr>
              <w:t>편각 차 RMS 0.00′ · 복각 0.03′ · 총자력 0.02 nT</w:t>
            </w:r>
          </w:p>
        </w:tc>
      </w:tr>
      <w:tr>
        <w:trPr>
          <w:cantSplit/>
        </w:trPr>
        <w:tc>
          <w:tcPr>
            <w:tcW w:type="dxa" w:w="2880"/>
            <w:shd w:val="clear" w:color="auto" w:fill="F2F4F7"/>
          </w:tcPr>
          <w:p>
            <w:r/>
            <w:r>
              <w:rPr>
                <w:rFonts w:ascii="맑은 고딕" w:hAnsi="맑은 고딕"/>
                <w:sz w:val="18"/>
              </w:rPr>
              <w:t>② 상시관측 회귀</w:t>
            </w:r>
          </w:p>
        </w:tc>
        <w:tc>
          <w:tcPr>
            <w:tcW w:type="dxa" w:w="2880"/>
            <w:shd w:val="clear" w:color="auto" w:fill="F2F4F7"/>
          </w:tcPr>
          <w:p>
            <w:pPr>
              <w:jc w:val="center"/>
            </w:pPr>
            <w:r/>
            <w:r>
              <w:rPr>
                <w:rFonts w:ascii="맑은 고딕" w:hAnsi="맑은 고딕"/>
                <w:sz w:val="18"/>
              </w:rPr>
              <w:t>같은 날 여러 세션의 관측값 변동을 상시관측 편차로 회귀(170세션)</w:t>
            </w:r>
          </w:p>
        </w:tc>
        <w:tc>
          <w:tcPr>
            <w:tcW w:type="dxa" w:w="2880"/>
            <w:shd w:val="clear" w:color="auto" w:fill="F2F4F7"/>
          </w:tcPr>
          <w:p>
            <w:pPr>
              <w:jc w:val="center"/>
            </w:pPr>
            <w:r/>
            <w:r>
              <w:rPr>
                <w:rFonts w:ascii="맑은 고딕" w:hAnsi="맑은 고딕"/>
                <w:sz w:val="18"/>
              </w:rPr>
              <w:t>기울기 −0.02 [−0.22, +0.18]</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성과표에는 일변화 보정이 적용되어 있지 않다</w:t>
            </w:r>
          </w:p>
          <w:p>
            <w:r>
              <w:rPr>
                <w:rFonts w:ascii="맑은 고딕" w:hAnsi="맑은 고딕"/>
                <w:sz w:val="19"/>
              </w:rPr>
              <w:t>① 이 결정적이다. 성과표 값이 야장 세션평균과 표기 자릿수 이내로 일치하므로, 그 사이에 어떤 보정도 들어가지 않았다. 일변화 보정이 적용되었다면 그 크기만큼(편각 약 6′, 총자력 약 38 nT) 차이가 났어야 한다. 따라서 본 연구가 외부장을 빼는 것은 이중보정이 아니다. 동일 측점 재방문 총자력 산포가 최대 138 nT 에 이르는 것도 이 결론과 부합한다.</w:t>
            </w:r>
          </w:p>
        </w:tc>
      </w:tr>
    </w:tbl>
    <w:p/>
    <w:p>
      <w:r>
        <w:rPr>
          <w:rFonts w:ascii="맑은 고딕" w:hAnsi="맑은 고딕"/>
          <w:b w:val="0"/>
          <w:sz w:val="19"/>
        </w:rPr>
        <w:t>② 는 독립적인 확인으로 설계했으나 판정 근거로는 쓰지 않는다. 야장 값은 정의상 원시 판독값이므로 이 회귀의 기울기는 「보정 여부」가 아니라 「우리 외부장 추정이 실제 세션 간 변동을 얼마나 맞히는가」를 재기 때문이다. 기울기가 0 에 가깝다는 것은 보정이 되어 있다는 뜻이 아니라, 추정한 보정량이 실제 변동과 어긋난다는 뜻이다. 이 결과는 아래 7.6.1 에서 따로 다룬다.</w:t>
      </w:r>
    </w:p>
    <w:p>
      <w:pPr>
        <w:pStyle w:val="Heading2"/>
      </w:pPr>
      <w:r>
        <w:t>7.6.1 외부장 추정의 한계 — 크기는 맞고 시점이 어긋난다</w:t>
      </w:r>
    </w:p>
    <w:p>
      <w:r>
        <w:rPr>
          <w:rFonts w:ascii="맑은 고딕" w:hAnsi="맑은 고딕"/>
          <w:b w:val="0"/>
          <w:sz w:val="21"/>
        </w:rPr>
        <w:t>같은 측점·같은 날의 세션들은 측점 계통오차와 그날의 기준값을 정확히 공유하므로, 세션 간 차이는 그 시각의 외부장과 측정 잡음만 남는다. 이 조건에서 관측된 편각의 세션 간 산포는 2.61′ 이고, 우리가 추정한 외부장 편차의 산포는 1.97′ 로 크기가 비슷하다. 그러나 둘의 상관은 −0.02 로 사실상 없다.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외부장 보정을 잠정 적용으로 두는 이유</w:t>
            </w:r>
          </w:p>
          <w:p>
            <w:r>
              <w:rPr>
                <w:rFonts w:ascii="맑은 고딕" w:hAnsi="맑은 고딕"/>
                <w:sz w:val="19"/>
              </w:rPr>
              <w:t>추정한 보정량의 규모는 타당하나 시각별 변동을 맞히지 못한다. 관측소 4개소를 1차 평면으로 보간하는 현재 방식이 측점 위치의 실제 변동을 재현하지 못한다는 뜻이며, 설명자료가 요구하는 공간투영(NOC)이 필요한 이유이기도 하다. 교차검증에서 관측된 개선(편각 0.512°→0.499°)이 작은 것도 이와 일관된다. 따라서 ④ External 층은 잠정(provisional) 적용으로 표기한다.</w:t>
            </w:r>
          </w:p>
        </w:tc>
      </w:tr>
    </w:tbl>
    <w:p/>
    <w:p>
      <w:pPr>
        <w:pStyle w:val="Heading2"/>
      </w:pPr>
      <w:r>
        <w:t>7.6.2 확인이 필요한 사항</w:t>
      </w:r>
    </w:p>
    <w:p>
      <w:pPr>
        <w:pStyle w:val="ListBullet"/>
      </w:pPr>
      <w:r>
        <w:rPr>
          <w:rFonts w:ascii="맑은 고딕" w:hAnsi="맑은 고딕"/>
          <w:sz w:val="20"/>
        </w:rPr>
        <w:t>상시관측소 좌표축·기준선 규약 문서 — 관측소마다 성분 정의가 달라(청양·이천은 지리축, 강릉은 계기축, 제주는 벡터가 닫히지 않음) 현재는 IGRF 로 회전각을 추정하고 있다. 공식 문서로 대체해야 한다.</w:t>
      </w:r>
    </w:p>
    <w:p>
      <w:pPr>
        <w:pStyle w:val="ListBullet"/>
      </w:pPr>
      <w:r>
        <w:rPr>
          <w:rFonts w:ascii="맑은 고딕" w:hAnsi="맑은 고딕"/>
          <w:sz w:val="20"/>
        </w:rPr>
        <w:t>총자력 측정 시각과 센서 위치차 — 2020 절차는 편각·복각 측정점에서 5 m 이상 떨어져 측정한 뒤 센서 위치에서 재측정하여 위치차를 보정하도록 한다. 야장 68개를 전수 조사한 결과 F 측정시각은 전부 미기입이고 두 지점의 값도 남아 있지 않다. 향후 야장 양식에 해당 칸을 추가해야 한다.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