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2D64F" w14:textId="119064C3" w:rsidR="001F0373" w:rsidRDefault="00874F52" w:rsidP="00874F52">
      <w:pPr>
        <w:jc w:val="center"/>
        <w:rPr>
          <w:rFonts w:ascii="Arial" w:hAnsi="Arial" w:cs="Arial"/>
          <w:b/>
          <w:bCs/>
          <w:lang w:val="es-MX"/>
        </w:rPr>
      </w:pPr>
      <w:r>
        <w:rPr>
          <w:rFonts w:ascii="Arial" w:hAnsi="Arial" w:cs="Arial"/>
          <w:b/>
          <w:bCs/>
          <w:lang w:val="es-MX"/>
        </w:rPr>
        <w:t>Nuevas teorías</w:t>
      </w:r>
    </w:p>
    <w:p w14:paraId="325A776D" w14:textId="329ED958" w:rsidR="00874F52" w:rsidRDefault="00874F52" w:rsidP="00874F52">
      <w:pPr>
        <w:rPr>
          <w:rFonts w:ascii="Arial" w:hAnsi="Arial" w:cs="Arial"/>
          <w:b/>
          <w:bCs/>
          <w:lang w:val="es-MX"/>
        </w:rPr>
      </w:pPr>
      <w:r>
        <w:rPr>
          <w:rFonts w:ascii="Arial" w:hAnsi="Arial" w:cs="Arial"/>
          <w:b/>
          <w:bCs/>
          <w:lang w:val="es-MX"/>
        </w:rPr>
        <w:t>TEOR</w:t>
      </w:r>
      <w:r w:rsidR="00D66884">
        <w:rPr>
          <w:rFonts w:ascii="Arial" w:hAnsi="Arial" w:cs="Arial"/>
          <w:b/>
          <w:bCs/>
          <w:lang w:val="es-MX"/>
        </w:rPr>
        <w:t>Í</w:t>
      </w:r>
      <w:r>
        <w:rPr>
          <w:rFonts w:ascii="Arial" w:hAnsi="Arial" w:cs="Arial"/>
          <w:b/>
          <w:bCs/>
          <w:lang w:val="es-MX"/>
        </w:rPr>
        <w:t xml:space="preserve">A DE LA FLEXIBILIDAD COGNITIVA </w:t>
      </w:r>
    </w:p>
    <w:p w14:paraId="39A459CF" w14:textId="0BBACB6E" w:rsidR="00874F52" w:rsidRDefault="00874F52" w:rsidP="00874F52">
      <w:pPr>
        <w:rPr>
          <w:rFonts w:ascii="Arial" w:hAnsi="Arial" w:cs="Arial"/>
          <w:lang w:val="es-MX"/>
        </w:rPr>
      </w:pPr>
      <w:hyperlink r:id="rId4" w:history="1">
        <w:r w:rsidRPr="001E2091">
          <w:rPr>
            <w:rStyle w:val="Hipervnculo"/>
            <w:rFonts w:ascii="Arial" w:hAnsi="Arial" w:cs="Arial"/>
            <w:lang w:val="es-MX"/>
          </w:rPr>
          <w:t>https://www.ideals.illinois.edu/items/18096</w:t>
        </w:r>
      </w:hyperlink>
    </w:p>
    <w:p w14:paraId="077C358E" w14:textId="588FAF22" w:rsidR="00874F52" w:rsidRDefault="00BE2F22" w:rsidP="00874F52">
      <w:pPr>
        <w:rPr>
          <w:rFonts w:ascii="Arial" w:hAnsi="Arial" w:cs="Arial"/>
          <w:lang w:val="es-MX"/>
        </w:rPr>
      </w:pPr>
      <w:r w:rsidRPr="00BE2F22">
        <w:rPr>
          <w:rFonts w:ascii="Arial" w:hAnsi="Arial" w:cs="Arial"/>
          <w:lang w:val="es-MX"/>
        </w:rPr>
        <w:t>https://idus.us.es/server/api/core/bitstreams/d69cce5d-84c9-490a-8644-a865e181bbd7/content</w:t>
      </w:r>
    </w:p>
    <w:p w14:paraId="1F34E382" w14:textId="77777777" w:rsidR="007B4765" w:rsidRPr="007B4765" w:rsidRDefault="007B4765" w:rsidP="007B4765">
      <w:pPr>
        <w:spacing w:after="0"/>
        <w:jc w:val="both"/>
        <w:rPr>
          <w:rFonts w:ascii="Arial" w:hAnsi="Arial" w:cs="Arial"/>
        </w:rPr>
      </w:pPr>
      <w:r w:rsidRPr="007B4765">
        <w:rPr>
          <w:rFonts w:ascii="Arial" w:hAnsi="Arial" w:cs="Arial"/>
        </w:rPr>
        <w:t xml:space="preserve">La </w:t>
      </w:r>
      <w:r w:rsidRPr="007B4765">
        <w:rPr>
          <w:rFonts w:ascii="Arial" w:hAnsi="Arial" w:cs="Arial"/>
          <w:b/>
          <w:bCs/>
        </w:rPr>
        <w:t>Teoría de la Flexibilidad Cognitiva</w:t>
      </w:r>
      <w:r w:rsidRPr="007B4765">
        <w:rPr>
          <w:rFonts w:ascii="Arial" w:hAnsi="Arial" w:cs="Arial"/>
        </w:rPr>
        <w:t xml:space="preserve">, formulada por Rand J. Spiro, Richard L. Coulson, Paul J. </w:t>
      </w:r>
      <w:proofErr w:type="spellStart"/>
      <w:r w:rsidRPr="007B4765">
        <w:rPr>
          <w:rFonts w:ascii="Arial" w:hAnsi="Arial" w:cs="Arial"/>
        </w:rPr>
        <w:t>Feltovich</w:t>
      </w:r>
      <w:proofErr w:type="spellEnd"/>
      <w:r w:rsidRPr="007B4765">
        <w:rPr>
          <w:rFonts w:ascii="Arial" w:hAnsi="Arial" w:cs="Arial"/>
        </w:rPr>
        <w:t xml:space="preserve"> y Daniel K. Anderson (1988) en sus investigaciones para la Universidad de Illinois, aborda de forma exhaustiva las dinámicas del aprendizaje en la etapa de adquisición de conocimiento avanzado. Este modelo teórico se distancia explícitamente de los enfoques de la instrucción introductoria, cuyo propósito suele limitarse a la mera exposición del contenido y a la evaluación basada en el reconocimiento o el recuerdo superficial. Por el contrario, el conocimiento avanzado plantea como meta fundamental que el estudiante logre una comprensión profunda del material conceptual, sea capaz de razonar críticamente con él y consiga aplicarlo y transferirlo de manera flexible a contextos diversos y dinámicos. Este proceso de asimilación se vuelve especialmente complejo al adentrarse en </w:t>
      </w:r>
      <w:r w:rsidRPr="007B4765">
        <w:rPr>
          <w:rFonts w:ascii="Arial" w:hAnsi="Arial" w:cs="Arial"/>
          <w:b/>
          <w:bCs/>
        </w:rPr>
        <w:t>dominios mal estructurados</w:t>
      </w:r>
      <w:r w:rsidRPr="007B4765">
        <w:rPr>
          <w:rFonts w:ascii="Arial" w:hAnsi="Arial" w:cs="Arial"/>
        </w:rPr>
        <w:t xml:space="preserve">, definidos por la teoría como aquellos campos donde múltiples conceptos abstractos interactúan simultáneamente ante un mismo caso real y donde sus patrones de combinación varían de forma inconsistente entre aplicaciones de un mismo tipo nominal. </w:t>
      </w:r>
    </w:p>
    <w:p w14:paraId="4B08A69A" w14:textId="77777777" w:rsidR="007B4765" w:rsidRPr="007B4765" w:rsidRDefault="007B4765" w:rsidP="007B4765">
      <w:pPr>
        <w:spacing w:after="0"/>
        <w:jc w:val="both"/>
        <w:rPr>
          <w:rFonts w:ascii="Arial" w:hAnsi="Arial" w:cs="Arial"/>
        </w:rPr>
      </w:pPr>
      <w:r w:rsidRPr="007B4765">
        <w:rPr>
          <w:rFonts w:ascii="Arial" w:hAnsi="Arial" w:cs="Arial"/>
        </w:rPr>
        <w:t xml:space="preserve">Para dar respuesta a esta complejidad inherente, la flexibilidad cognitiva se define como la capacidad de movilizar e interconectar selectivamente diversos elementos teóricos con el fin de adaptarse de manera óptima a las necesidades de comprensión y toma de decisiones ante una situación particular. La teoría sostiene que, para cultivar este nivel de adaptabilidad, los entornos de instrucción interactiva deben fundamentarse en el uso de </w:t>
      </w:r>
      <w:r w:rsidRPr="007B4765">
        <w:rPr>
          <w:rFonts w:ascii="Arial" w:hAnsi="Arial" w:cs="Arial"/>
          <w:b/>
          <w:bCs/>
        </w:rPr>
        <w:t>múltiples representaciones conceptuales</w:t>
      </w:r>
      <w:r w:rsidRPr="007B4765">
        <w:rPr>
          <w:rFonts w:ascii="Arial" w:hAnsi="Arial" w:cs="Arial"/>
        </w:rPr>
        <w:t xml:space="preserve">, el posicionamiento de los casos prácticos como el eje central del entendimiento funcional, y la promoción de un aprendizaje plenamente participativo apoyado por soportes que auxilien al estudiante en la gestión de la carga cognitiva. De igual modo, este enfoque desplaza por completo el valor del almacenamiento y la recuperación pasiva de estructuras de conocimiento rígidas o preenvasadas, priorizando en su lugar el </w:t>
      </w:r>
      <w:r w:rsidRPr="007B4765">
        <w:rPr>
          <w:rFonts w:ascii="Arial" w:hAnsi="Arial" w:cs="Arial"/>
          <w:b/>
          <w:bCs/>
        </w:rPr>
        <w:t>ensamblaje dinámico de esquemas</w:t>
      </w:r>
      <w:r w:rsidRPr="007B4765">
        <w:rPr>
          <w:rFonts w:ascii="Arial" w:hAnsi="Arial" w:cs="Arial"/>
        </w:rPr>
        <w:t xml:space="preserve"> adaptados a la situación y construidos en tiempo real a partir de múltiples fuentes conceptuales y de precedentes. Esta reconfiguración metodológica actúa como un antídoto frente al denominado </w:t>
      </w:r>
      <w:r w:rsidRPr="007B4765">
        <w:rPr>
          <w:rFonts w:ascii="Arial" w:hAnsi="Arial" w:cs="Arial"/>
          <w:b/>
          <w:bCs/>
        </w:rPr>
        <w:t>sesgo de reducción</w:t>
      </w:r>
      <w:r w:rsidRPr="007B4765">
        <w:rPr>
          <w:rFonts w:ascii="Arial" w:hAnsi="Arial" w:cs="Arial"/>
        </w:rPr>
        <w:t xml:space="preserve">, el cual representa la tendencia sistémica a </w:t>
      </w:r>
      <w:proofErr w:type="spellStart"/>
      <w:r w:rsidRPr="007B4765">
        <w:rPr>
          <w:rFonts w:ascii="Arial" w:hAnsi="Arial" w:cs="Arial"/>
        </w:rPr>
        <w:t>sobresimplificar</w:t>
      </w:r>
      <w:proofErr w:type="spellEnd"/>
      <w:r w:rsidRPr="007B4765">
        <w:rPr>
          <w:rFonts w:ascii="Arial" w:hAnsi="Arial" w:cs="Arial"/>
        </w:rPr>
        <w:t xml:space="preserve"> los contenidos complejos mediante la compartimentalización rígida, el tratamiento unidimensional de fenómenos dinámicos y la artificial regularización de estructuras irregulares. </w:t>
      </w:r>
    </w:p>
    <w:p w14:paraId="25EC3A83" w14:textId="77777777" w:rsidR="007B4765" w:rsidRPr="007B4765" w:rsidRDefault="007B4765" w:rsidP="007B4765">
      <w:pPr>
        <w:spacing w:after="0"/>
        <w:jc w:val="both"/>
        <w:rPr>
          <w:rFonts w:ascii="Arial" w:hAnsi="Arial" w:cs="Arial"/>
          <w:b/>
          <w:bCs/>
        </w:rPr>
      </w:pPr>
      <w:r w:rsidRPr="007B4765">
        <w:rPr>
          <w:rFonts w:ascii="Arial" w:hAnsi="Arial" w:cs="Arial"/>
          <w:b/>
          <w:bCs/>
        </w:rPr>
        <w:lastRenderedPageBreak/>
        <w:t>Conexión con el Trabajo Especial de Grado</w:t>
      </w:r>
    </w:p>
    <w:p w14:paraId="728D81E3" w14:textId="77777777" w:rsidR="007B4765" w:rsidRPr="007B4765" w:rsidRDefault="007B4765" w:rsidP="007B4765">
      <w:pPr>
        <w:spacing w:after="0"/>
        <w:jc w:val="both"/>
        <w:rPr>
          <w:rFonts w:ascii="Arial" w:hAnsi="Arial" w:cs="Arial"/>
        </w:rPr>
      </w:pPr>
      <w:r w:rsidRPr="007B4765">
        <w:rPr>
          <w:rFonts w:ascii="Arial" w:hAnsi="Arial" w:cs="Arial"/>
        </w:rPr>
        <w:t xml:space="preserve">La arquitectura pedagógica e interactiva planteada para este Trabajo Especial de Grado, consistente en una aplicación educativa </w:t>
      </w:r>
      <w:proofErr w:type="spellStart"/>
      <w:r w:rsidRPr="007B4765">
        <w:rPr>
          <w:rFonts w:ascii="Arial" w:hAnsi="Arial" w:cs="Arial"/>
        </w:rPr>
        <w:t>gamificada</w:t>
      </w:r>
      <w:proofErr w:type="spellEnd"/>
      <w:r w:rsidRPr="007B4765">
        <w:rPr>
          <w:rFonts w:ascii="Arial" w:hAnsi="Arial" w:cs="Arial"/>
        </w:rPr>
        <w:t xml:space="preserve"> que se compone de seis etapas temáticas de matemáticas con veinte niveles de aprendizaje cada una, se alinea de forma directa con estos postulados de la flexibilidad cognitiva. Al estructurar cada área conceptual mediante </w:t>
      </w:r>
      <w:r w:rsidRPr="007B4765">
        <w:rPr>
          <w:rFonts w:ascii="Arial" w:hAnsi="Arial" w:cs="Arial"/>
          <w:b/>
          <w:bCs/>
        </w:rPr>
        <w:t>veinte niveles que alternan formatos alternativos</w:t>
      </w:r>
      <w:r w:rsidRPr="007B4765">
        <w:rPr>
          <w:rFonts w:ascii="Arial" w:hAnsi="Arial" w:cs="Arial"/>
        </w:rPr>
        <w:t xml:space="preserve"> —que abarcan desde evaluaciones teóricas tradicionales de verdadero o falso y selección simple, hasta dinámicas interactivas inspiradas en minijuegos como </w:t>
      </w:r>
      <w:r w:rsidRPr="007B4765">
        <w:rPr>
          <w:rFonts w:ascii="Arial" w:hAnsi="Arial" w:cs="Arial"/>
          <w:i/>
          <w:iCs/>
        </w:rPr>
        <w:t>Google Snake</w:t>
      </w:r>
      <w:r w:rsidRPr="007B4765">
        <w:rPr>
          <w:rFonts w:ascii="Arial" w:hAnsi="Arial" w:cs="Arial"/>
        </w:rPr>
        <w:t xml:space="preserve">, </w:t>
      </w:r>
      <w:r w:rsidRPr="007B4765">
        <w:rPr>
          <w:rFonts w:ascii="Arial" w:hAnsi="Arial" w:cs="Arial"/>
          <w:i/>
          <w:iCs/>
        </w:rPr>
        <w:t>Tetris</w:t>
      </w:r>
      <w:r w:rsidRPr="007B4765">
        <w:rPr>
          <w:rFonts w:ascii="Arial" w:hAnsi="Arial" w:cs="Arial"/>
        </w:rPr>
        <w:t xml:space="preserve"> o </w:t>
      </w:r>
      <w:r w:rsidRPr="007B4765">
        <w:rPr>
          <w:rFonts w:ascii="Arial" w:hAnsi="Arial" w:cs="Arial"/>
          <w:i/>
          <w:iCs/>
        </w:rPr>
        <w:t xml:space="preserve">Catcher </w:t>
      </w:r>
      <w:proofErr w:type="spellStart"/>
      <w:r w:rsidRPr="007B4765">
        <w:rPr>
          <w:rFonts w:ascii="Arial" w:hAnsi="Arial" w:cs="Arial"/>
          <w:i/>
          <w:iCs/>
        </w:rPr>
        <w:t>games</w:t>
      </w:r>
      <w:proofErr w:type="spellEnd"/>
      <w:r w:rsidRPr="007B4765">
        <w:rPr>
          <w:rFonts w:ascii="Arial" w:hAnsi="Arial" w:cs="Arial"/>
        </w:rPr>
        <w:t xml:space="preserve">— el sistema evita caer en la dependencia de una única base de representación mental. En lugar de presentar los objetos matemáticos mediante una sola lógica organizacional o a través de un único prototipo rígido que propicie errores por </w:t>
      </w:r>
      <w:proofErr w:type="spellStart"/>
      <w:r w:rsidRPr="007B4765">
        <w:rPr>
          <w:rFonts w:ascii="Arial" w:hAnsi="Arial" w:cs="Arial"/>
        </w:rPr>
        <w:t>sobregeneralización</w:t>
      </w:r>
      <w:proofErr w:type="spellEnd"/>
      <w:r w:rsidRPr="007B4765">
        <w:rPr>
          <w:rFonts w:ascii="Arial" w:hAnsi="Arial" w:cs="Arial"/>
        </w:rPr>
        <w:t xml:space="preserve">, la variedad de mecánicas obliga al estudiante a aproximarse a una misma propiedad matemática a través de diferentes lentes cognitivos. Esta diversificación permite que los conceptos de cada etapa dejen de percibirse como bloques abstractos e independientes del contexto, transformándose en herramientas de conocimiento en uso que se adaptan y modelan en función de la naturaleza interactiva del nivel en curso. </w:t>
      </w:r>
    </w:p>
    <w:p w14:paraId="39BCDA8D" w14:textId="77777777" w:rsidR="007B4765" w:rsidRPr="007B4765" w:rsidRDefault="007B4765" w:rsidP="007B4765">
      <w:pPr>
        <w:spacing w:after="0"/>
        <w:jc w:val="both"/>
        <w:rPr>
          <w:rFonts w:ascii="Arial" w:hAnsi="Arial" w:cs="Arial"/>
        </w:rPr>
      </w:pPr>
      <w:r w:rsidRPr="007B4765">
        <w:rPr>
          <w:rFonts w:ascii="Arial" w:hAnsi="Arial" w:cs="Arial"/>
        </w:rPr>
        <w:t xml:space="preserve">Asimismo, la inclusión de minijuegos lúdicos en tiempo real opera como un claro catalizador para la transición desde el almacenamiento rígido hacia el </w:t>
      </w:r>
      <w:r w:rsidRPr="007B4765">
        <w:rPr>
          <w:rFonts w:ascii="Arial" w:hAnsi="Arial" w:cs="Arial"/>
          <w:b/>
          <w:bCs/>
        </w:rPr>
        <w:t>ensamblaje de esquemas específicos para la situación</w:t>
      </w:r>
      <w:r w:rsidRPr="007B4765">
        <w:rPr>
          <w:rFonts w:ascii="Arial" w:hAnsi="Arial" w:cs="Arial"/>
        </w:rPr>
        <w:t xml:space="preserve">. De acuerdo con el reporte técnico de Spiro y sus colaboradores, detallado en el documento de referencia titulado </w:t>
      </w:r>
      <w:r w:rsidRPr="007B4765">
        <w:rPr>
          <w:rFonts w:ascii="Arial" w:hAnsi="Arial" w:cs="Arial"/>
          <w:i/>
          <w:iCs/>
        </w:rPr>
        <w:t>“Teoría de la flexibilidad cognitiva original.pdf”</w:t>
      </w:r>
      <w:r w:rsidRPr="007B4765">
        <w:rPr>
          <w:rFonts w:ascii="Arial" w:hAnsi="Arial" w:cs="Arial"/>
        </w:rPr>
        <w:t xml:space="preserve">, los dominios complejos se ven profundamente afectados cuando la instrucción descansa en protocolos prefijados o recetas lúdicas que los estudiantes ejecutan a manera de fórmulas rutinarias. En la aplicación diseñada, las mecánicas de juego activas, móviles e impredecibles rompen con la rigidez de un algoritmo memorizado pasivamente. Para superar con éxito los desafíos interactivos, el usuario se ve obligado a evaluar de manera instantánea el escenario dinámico de la pantalla, movilizar sus recursos conceptuales previos y ensamblar sobre la marcha una solución matemática maleable que responda con precisión al problema específico del entorno jugable. </w:t>
      </w:r>
    </w:p>
    <w:p w14:paraId="1D191B15" w14:textId="77777777" w:rsidR="007B4765" w:rsidRPr="007B4765" w:rsidRDefault="007B4765" w:rsidP="007B4765">
      <w:pPr>
        <w:spacing w:after="0"/>
        <w:jc w:val="both"/>
        <w:rPr>
          <w:rFonts w:ascii="Arial" w:hAnsi="Arial" w:cs="Arial"/>
        </w:rPr>
      </w:pPr>
      <w:r w:rsidRPr="007B4765">
        <w:rPr>
          <w:rFonts w:ascii="Arial" w:hAnsi="Arial" w:cs="Arial"/>
        </w:rPr>
        <w:t xml:space="preserve">Finalmente, la progresión secuencial de veinte niveles por cada área temática, complementada con una prueba final restrictiva para desbloquear la siguiente etapa, materializa de forma precisa el principio instruccional del </w:t>
      </w:r>
      <w:r w:rsidRPr="007B4765">
        <w:rPr>
          <w:rFonts w:ascii="Arial" w:hAnsi="Arial" w:cs="Arial"/>
          <w:b/>
          <w:bCs/>
        </w:rPr>
        <w:t>entrecruzamiento del paisaje conceptual</w:t>
      </w:r>
      <w:r w:rsidRPr="007B4765">
        <w:rPr>
          <w:rFonts w:ascii="Arial" w:hAnsi="Arial" w:cs="Arial"/>
        </w:rPr>
        <w:t xml:space="preserve">. La teoría postula que una comprensión profunda de un territorio complejo no se logra jamás mediante una única trayectoria lineal, sino cruzando el mismo paisaje en múltiples direcciones, en distintos momentos y bajo combinaciones diversas de perspectivas. Al iterar de manera continua sobre un mismo tema matemático a lo largo de veinte variantes metodológicas, el estudiante revisita los mismos nodos de conocimiento en contextos interactivos radicalmente </w:t>
      </w:r>
      <w:r w:rsidRPr="007B4765">
        <w:rPr>
          <w:rFonts w:ascii="Arial" w:hAnsi="Arial" w:cs="Arial"/>
        </w:rPr>
        <w:lastRenderedPageBreak/>
        <w:t xml:space="preserve">distintos, enriqueciendo su representación mental y previniendo la formación de redes de preconcepciones erróneas antes de someterse a la prueba de cierre. De esta manera, los componentes lúdicos y las mecánicas familiares de los videojuegos propuestos operan como el </w:t>
      </w:r>
      <w:r w:rsidRPr="007B4765">
        <w:rPr>
          <w:rFonts w:ascii="Arial" w:hAnsi="Arial" w:cs="Arial"/>
          <w:b/>
          <w:bCs/>
        </w:rPr>
        <w:t>soporte adjunto y la guía tutorial</w:t>
      </w:r>
      <w:r w:rsidRPr="007B4765">
        <w:rPr>
          <w:rFonts w:ascii="Arial" w:hAnsi="Arial" w:cs="Arial"/>
        </w:rPr>
        <w:t xml:space="preserve"> que la teoría demanda para mitigar la pasividad instruccional, dotando al estudiante del andamiaje necesario para autogestionar la complejidad matemática de forma participativa, eficiente y adaptativa.</w:t>
      </w:r>
    </w:p>
    <w:p w14:paraId="255548D5" w14:textId="77777777" w:rsidR="007B4765" w:rsidRDefault="007B4765" w:rsidP="00874F52">
      <w:pPr>
        <w:rPr>
          <w:rFonts w:ascii="Arial" w:hAnsi="Arial" w:cs="Arial"/>
          <w:lang w:val="es-MX"/>
        </w:rPr>
      </w:pPr>
    </w:p>
    <w:p w14:paraId="4256EDEF" w14:textId="735E66C1" w:rsidR="00874F52" w:rsidRDefault="00D66884" w:rsidP="00874F52">
      <w:pPr>
        <w:rPr>
          <w:rFonts w:ascii="Arial" w:hAnsi="Arial" w:cs="Arial"/>
          <w:b/>
          <w:bCs/>
          <w:lang w:val="es-MX"/>
        </w:rPr>
      </w:pPr>
      <w:r>
        <w:rPr>
          <w:rFonts w:ascii="Arial" w:hAnsi="Arial" w:cs="Arial"/>
          <w:b/>
          <w:bCs/>
          <w:lang w:val="es-MX"/>
        </w:rPr>
        <w:t>TEORÍA DEL APRENDIZAJE PARA EL DOMINI</w:t>
      </w:r>
      <w:r w:rsidR="00757130">
        <w:rPr>
          <w:rFonts w:ascii="Arial" w:hAnsi="Arial" w:cs="Arial"/>
          <w:b/>
          <w:bCs/>
          <w:lang w:val="es-MX"/>
        </w:rPr>
        <w:t>O</w:t>
      </w:r>
    </w:p>
    <w:p w14:paraId="4680DFDF" w14:textId="70C63E28" w:rsidR="00D66884" w:rsidRDefault="00D66884" w:rsidP="00874F52">
      <w:pPr>
        <w:rPr>
          <w:rFonts w:ascii="Arial" w:hAnsi="Arial" w:cs="Arial"/>
          <w:lang w:val="es-MX"/>
        </w:rPr>
      </w:pPr>
      <w:hyperlink r:id="rId5" w:history="1">
        <w:r w:rsidRPr="001E2091">
          <w:rPr>
            <w:rStyle w:val="Hipervnculo"/>
            <w:rFonts w:ascii="Arial" w:hAnsi="Arial" w:cs="Arial"/>
            <w:lang w:val="es-MX"/>
          </w:rPr>
          <w:t>https://eric.ed.gov/?id=ED053419</w:t>
        </w:r>
      </w:hyperlink>
    </w:p>
    <w:p w14:paraId="1ECA767F" w14:textId="5597C124" w:rsidR="00230F5C" w:rsidRDefault="00230F5C" w:rsidP="00874F52">
      <w:pPr>
        <w:rPr>
          <w:rFonts w:ascii="Arial" w:hAnsi="Arial" w:cs="Arial"/>
          <w:lang w:val="es-MX"/>
        </w:rPr>
      </w:pPr>
      <w:r w:rsidRPr="00230F5C">
        <w:rPr>
          <w:rFonts w:ascii="Arial" w:hAnsi="Arial" w:cs="Arial"/>
          <w:lang w:val="es-MX"/>
        </w:rPr>
        <w:t>https://detemasytemas.wordpress.com/wp-content/uploads/2012/01/bloom-s-benjamin1.pdf</w:t>
      </w:r>
    </w:p>
    <w:p w14:paraId="690FEBFC" w14:textId="3F2776EF" w:rsidR="00D66884" w:rsidRDefault="004E7247" w:rsidP="004E7247">
      <w:pPr>
        <w:jc w:val="both"/>
        <w:rPr>
          <w:rFonts w:ascii="Arial" w:hAnsi="Arial" w:cs="Arial"/>
        </w:rPr>
      </w:pPr>
      <w:r w:rsidRPr="004E7247">
        <w:rPr>
          <w:rFonts w:ascii="Arial" w:hAnsi="Arial" w:cs="Arial"/>
        </w:rPr>
        <w:t xml:space="preserve">La Teoría del Aprendizaje para el Dominio, formulada originalmente por </w:t>
      </w:r>
      <w:proofErr w:type="spellStart"/>
      <w:r w:rsidRPr="004E7247">
        <w:rPr>
          <w:rFonts w:ascii="Arial" w:hAnsi="Arial" w:cs="Arial"/>
        </w:rPr>
        <w:t>Benjamin</w:t>
      </w:r>
      <w:proofErr w:type="spellEnd"/>
      <w:r w:rsidRPr="004E7247">
        <w:rPr>
          <w:rFonts w:ascii="Arial" w:hAnsi="Arial" w:cs="Arial"/>
        </w:rPr>
        <w:t xml:space="preserve"> Bloom en 1968, se fundamenta en la premisa de que la gran mayoría de los estudiantes (aproximadamente el 90% o más) son plenamente capaces de asimilar y dominar las competencias o materias que se les imparten, siempre que la enseñanza se diseñe para abordar sus diferencias individuales y se implementen las estrategias didácticas apropiadas. A diferencia de los enfoques tradicionales que consideran que la aptitud intelectual predetermina el nivel de complejidad conceptual que un alumno puede </w:t>
      </w:r>
      <w:proofErr w:type="gramStart"/>
      <w:r w:rsidRPr="004E7247">
        <w:rPr>
          <w:rFonts w:ascii="Arial" w:hAnsi="Arial" w:cs="Arial"/>
        </w:rPr>
        <w:t>alcanzar ,</w:t>
      </w:r>
      <w:proofErr w:type="gramEnd"/>
      <w:r w:rsidRPr="004E7247">
        <w:rPr>
          <w:rFonts w:ascii="Arial" w:hAnsi="Arial" w:cs="Arial"/>
        </w:rPr>
        <w:t xml:space="preserve"> Bloom adopta la perspectiva de Carroll, redefiniendo la </w:t>
      </w:r>
      <w:r w:rsidRPr="004E7247">
        <w:rPr>
          <w:rFonts w:ascii="Arial" w:hAnsi="Arial" w:cs="Arial"/>
          <w:b/>
          <w:bCs/>
        </w:rPr>
        <w:t>aptitud</w:t>
      </w:r>
      <w:r w:rsidRPr="004E7247">
        <w:rPr>
          <w:rFonts w:ascii="Arial" w:hAnsi="Arial" w:cs="Arial"/>
        </w:rPr>
        <w:t xml:space="preserve"> no como una limitación cognitiva, sino puramente como el </w:t>
      </w:r>
      <w:r w:rsidRPr="004E7247">
        <w:rPr>
          <w:rFonts w:ascii="Arial" w:hAnsi="Arial" w:cs="Arial"/>
          <w:i/>
          <w:iCs/>
        </w:rPr>
        <w:t>ritmo de aprendizaje</w:t>
      </w:r>
      <w:r w:rsidRPr="004E7247">
        <w:rPr>
          <w:rFonts w:ascii="Arial" w:hAnsi="Arial" w:cs="Arial"/>
        </w:rPr>
        <w:t>, es decir, la cantidad de tiempo que requiere un estudiante específico para alcanzar la maestría en una tarea determinada.</w:t>
      </w:r>
    </w:p>
    <w:p w14:paraId="3A53EF40" w14:textId="6DD6AE0E" w:rsidR="004E7247" w:rsidRDefault="004E7247" w:rsidP="004E7247">
      <w:pPr>
        <w:jc w:val="both"/>
        <w:rPr>
          <w:rFonts w:ascii="Arial" w:hAnsi="Arial" w:cs="Arial"/>
          <w:lang w:val="es-MX"/>
        </w:rPr>
      </w:pPr>
      <w:r w:rsidRPr="004E7247">
        <w:rPr>
          <w:rFonts w:ascii="Arial" w:hAnsi="Arial" w:cs="Arial"/>
        </w:rPr>
        <w:t xml:space="preserve">La presente investigación adopta como sustento pedagógico la </w:t>
      </w:r>
      <w:r w:rsidRPr="004E7247">
        <w:rPr>
          <w:rFonts w:ascii="Arial" w:hAnsi="Arial" w:cs="Arial"/>
          <w:b/>
          <w:bCs/>
        </w:rPr>
        <w:t>Teoría del Aprendizaje para el Dominio (</w:t>
      </w:r>
      <w:proofErr w:type="spellStart"/>
      <w:r w:rsidRPr="004E7247">
        <w:rPr>
          <w:rFonts w:ascii="Arial" w:hAnsi="Arial" w:cs="Arial"/>
          <w:b/>
          <w:bCs/>
          <w:i/>
          <w:iCs/>
        </w:rPr>
        <w:t>Learning</w:t>
      </w:r>
      <w:proofErr w:type="spellEnd"/>
      <w:r w:rsidRPr="004E7247">
        <w:rPr>
          <w:rFonts w:ascii="Arial" w:hAnsi="Arial" w:cs="Arial"/>
          <w:b/>
          <w:bCs/>
          <w:i/>
          <w:iCs/>
        </w:rPr>
        <w:t xml:space="preserve"> </w:t>
      </w:r>
      <w:proofErr w:type="spellStart"/>
      <w:r w:rsidRPr="004E7247">
        <w:rPr>
          <w:rFonts w:ascii="Arial" w:hAnsi="Arial" w:cs="Arial"/>
          <w:b/>
          <w:bCs/>
          <w:i/>
          <w:iCs/>
        </w:rPr>
        <w:t>for</w:t>
      </w:r>
      <w:proofErr w:type="spellEnd"/>
      <w:r w:rsidRPr="004E7247">
        <w:rPr>
          <w:rFonts w:ascii="Arial" w:hAnsi="Arial" w:cs="Arial"/>
          <w:b/>
          <w:bCs/>
          <w:i/>
          <w:iCs/>
        </w:rPr>
        <w:t xml:space="preserve"> </w:t>
      </w:r>
      <w:proofErr w:type="spellStart"/>
      <w:r w:rsidRPr="004E7247">
        <w:rPr>
          <w:rFonts w:ascii="Arial" w:hAnsi="Arial" w:cs="Arial"/>
          <w:b/>
          <w:bCs/>
          <w:i/>
          <w:iCs/>
        </w:rPr>
        <w:t>Mastery</w:t>
      </w:r>
      <w:proofErr w:type="spellEnd"/>
      <w:r w:rsidRPr="004E7247">
        <w:rPr>
          <w:rFonts w:ascii="Arial" w:hAnsi="Arial" w:cs="Arial"/>
          <w:b/>
          <w:bCs/>
        </w:rPr>
        <w:t>)</w:t>
      </w:r>
      <w:r w:rsidRPr="004E7247">
        <w:rPr>
          <w:rFonts w:ascii="Arial" w:hAnsi="Arial" w:cs="Arial"/>
        </w:rPr>
        <w:t xml:space="preserve"> de </w:t>
      </w:r>
      <w:proofErr w:type="spellStart"/>
      <w:r w:rsidRPr="004E7247">
        <w:rPr>
          <w:rFonts w:ascii="Arial" w:hAnsi="Arial" w:cs="Arial"/>
        </w:rPr>
        <w:t>Benjamin</w:t>
      </w:r>
      <w:proofErr w:type="spellEnd"/>
      <w:r w:rsidRPr="004E7247">
        <w:rPr>
          <w:rFonts w:ascii="Arial" w:hAnsi="Arial" w:cs="Arial"/>
        </w:rPr>
        <w:t xml:space="preserve"> Bloom (1968), la cual propone que el éxito educativo radica en flexibilizar el tiempo y diversificar las estrategias de instrucción para que la gran mayoría de los estudiantes alcancen un dominio óptimo de los contenidos. Esta teoría se operacionaliza directamente en el diseño del software educativo desarrollado, el cual abandona el esquema de tiempo fijo tradicional y distribuye el aprendizaje de las matemáticas en 6 etapas secuenciales compuestas por 20 niveles formativos de diversa índole (verdadero/falso, selección simple y minijuegos académicos como mecánicas tipo </w:t>
      </w:r>
      <w:proofErr w:type="spellStart"/>
      <w:r w:rsidRPr="004E7247">
        <w:rPr>
          <w:rFonts w:ascii="Arial" w:hAnsi="Arial" w:cs="Arial"/>
        </w:rPr>
        <w:t>snake</w:t>
      </w:r>
      <w:proofErr w:type="spellEnd"/>
      <w:r w:rsidRPr="004E7247">
        <w:rPr>
          <w:rFonts w:ascii="Arial" w:hAnsi="Arial" w:cs="Arial"/>
        </w:rPr>
        <w:t xml:space="preserve">, tetris o </w:t>
      </w:r>
      <w:proofErr w:type="spellStart"/>
      <w:r w:rsidRPr="004E7247">
        <w:rPr>
          <w:rFonts w:ascii="Arial" w:hAnsi="Arial" w:cs="Arial"/>
        </w:rPr>
        <w:t>catcher</w:t>
      </w:r>
      <w:proofErr w:type="spellEnd"/>
      <w:r w:rsidRPr="004E7247">
        <w:rPr>
          <w:rFonts w:ascii="Arial" w:hAnsi="Arial" w:cs="Arial"/>
        </w:rPr>
        <w:t>). Al exigir la aprobación obligatoria de una prueba final para desbloquear la subsecuente etapa, el sistema garantiza el control de prerrequisitos pedagógicos. Asimismo, promueve la perseverancia del usuario mediante entornos interactivos que proveen retroalimentación inmediata, adaptándose al ritmo de aprendizaje y a las necesidades individuales de cada estudiante.</w:t>
      </w:r>
    </w:p>
    <w:p w14:paraId="37072BC5" w14:textId="77777777" w:rsidR="004E7247" w:rsidRDefault="004E7247" w:rsidP="00874F52">
      <w:pPr>
        <w:rPr>
          <w:rFonts w:ascii="Arial" w:hAnsi="Arial" w:cs="Arial"/>
          <w:lang w:val="es-MX"/>
        </w:rPr>
      </w:pPr>
    </w:p>
    <w:p w14:paraId="4A3A86F2" w14:textId="347DFF36" w:rsidR="00BE2F22" w:rsidRDefault="00BE2F22" w:rsidP="00874F52">
      <w:pPr>
        <w:rPr>
          <w:rFonts w:ascii="Arial" w:hAnsi="Arial" w:cs="Arial"/>
          <w:b/>
          <w:bCs/>
          <w:lang w:val="es-MX"/>
        </w:rPr>
      </w:pPr>
      <w:r>
        <w:rPr>
          <w:rFonts w:ascii="Arial" w:hAnsi="Arial" w:cs="Arial"/>
          <w:b/>
          <w:bCs/>
          <w:lang w:val="es-MX"/>
        </w:rPr>
        <w:t>TEORÍA DE</w:t>
      </w:r>
      <w:r w:rsidR="00E11DCD">
        <w:rPr>
          <w:rFonts w:ascii="Arial" w:hAnsi="Arial" w:cs="Arial"/>
          <w:b/>
          <w:bCs/>
          <w:lang w:val="es-MX"/>
        </w:rPr>
        <w:t xml:space="preserve"> LA CARGA COGNITIVA</w:t>
      </w:r>
    </w:p>
    <w:p w14:paraId="4AA20292" w14:textId="34DCF5CD" w:rsidR="00E11DCD" w:rsidRDefault="00E11DCD" w:rsidP="00874F52">
      <w:pPr>
        <w:rPr>
          <w:rFonts w:ascii="Arial" w:hAnsi="Arial" w:cs="Arial"/>
          <w:lang w:val="es-MX"/>
        </w:rPr>
      </w:pPr>
      <w:hyperlink r:id="rId6" w:history="1">
        <w:r w:rsidRPr="001E2091">
          <w:rPr>
            <w:rStyle w:val="Hipervnculo"/>
            <w:rFonts w:ascii="Arial" w:hAnsi="Arial" w:cs="Arial"/>
            <w:lang w:val="es-MX"/>
          </w:rPr>
          <w:t>https://onlinelibrary.wiley.com/doi/pdf/10.1207/s15516709cog1202_4</w:t>
        </w:r>
      </w:hyperlink>
    </w:p>
    <w:p w14:paraId="022BB4A6" w14:textId="77777777" w:rsidR="00EC0E2D" w:rsidRPr="00EC0E2D" w:rsidRDefault="00EC0E2D" w:rsidP="00C970C3">
      <w:pPr>
        <w:jc w:val="both"/>
        <w:rPr>
          <w:rFonts w:ascii="Arial" w:hAnsi="Arial" w:cs="Arial"/>
        </w:rPr>
      </w:pPr>
      <w:r w:rsidRPr="00EC0E2D">
        <w:rPr>
          <w:rFonts w:ascii="Arial" w:hAnsi="Arial" w:cs="Arial"/>
        </w:rPr>
        <w:t xml:space="preserve">La Teoría de la Carga Cognitiva (TCC) es un marco conceptual fundamentado en las ciencias cognitivas y en el paradigma del procesamiento de la información que concibe la mente humana como un "Sistema Natural de Procesamiento de Información". Formulada originalmente por el psicólogo educativo John Sweller, esta teoría postula que el aprendizaje óptimo ocurre únicamente cuando el diseño de los materiales instruccionales y las actividades de enseñanza se alinean de manera estricta con las características y limitaciones de la Arquitectura Cognitiva Humana (ACH). Dentro de esta arquitectura, la memoria sensorial recibe inmediatamente los estímulos del entorno a través de canales corporales independientes, reteniendo dicha información por un lapso muy breve de 1 a 3 segundos para convertir los estímulos en datos visuales o auditivos sin otorgarles un significado inmediato. Posteriormente, la información pasa a la memoria de trabajo, que es la estructura encargada de la retención, procesamiento y manipulación consciente de los datos durante cortos períodos de 15 a 30 segundos. Esta estructura posee una capacidad severamente limitada, siendo capaz de gestionar únicamente alrededor de siete unidades de información a la vez cuando se enfrenta a contenido totalmente nuevo, distribuyendo sus operaciones en procesadores visuales e independientes de los auditivos bajo la coordinación de un sistema central-ejecutivo. </w:t>
      </w:r>
    </w:p>
    <w:p w14:paraId="61BE05DD" w14:textId="77777777" w:rsidR="00EC0E2D" w:rsidRPr="00EC0E2D" w:rsidRDefault="00EC0E2D" w:rsidP="00C970C3">
      <w:pPr>
        <w:jc w:val="both"/>
        <w:rPr>
          <w:rFonts w:ascii="Arial" w:hAnsi="Arial" w:cs="Arial"/>
        </w:rPr>
      </w:pPr>
      <w:r w:rsidRPr="00EC0E2D">
        <w:rPr>
          <w:rFonts w:ascii="Arial" w:hAnsi="Arial" w:cs="Arial"/>
        </w:rPr>
        <w:t xml:space="preserve">Por otro lado, la memoria de largo plazo funciona como un almacén ilimitado y permanente de conocimientos, conceptos, hechos y procedimientos, organizando la información en "esquemas" o constructos cognitivos que empaquetan múltiples unidades de datos individuales dentro de una sola categoría compleja. La adquisición y posesión de estos esquemas específicos es, en esencia, el factor primordial que distingue la habilidad de resolución de problemas de un experto frente a la de un novato. Durante el proceso de aprendizaje, el estudiante experimenta una carga cognitiva total que se desglosa en tres variantes fundamentales. La carga intrínseca representa el esfuerzo mental asociado directamente a la complejidad conceptual e inherente de la materia que se intenta asimilar. La carga extrínseca constituye el esfuerzo mental innecesario provocado por deficiencias en el diseño instruccional, formatos de presentación confusos o actividades accesorias que sobrecargan la memoria de trabajo sin aportar al aprendizaje real. Finalmente, la carga relevante o germánica es el esfuerzo cognitivo beneficioso enfocado directamente en los procesos mentales necesarios para la construcción, asimilación y posterior automatización de los esquemas en la memoria de largo plazo. El aprendizaje efectivo se ve amenazado si la suma de </w:t>
      </w:r>
      <w:r w:rsidRPr="00EC0E2D">
        <w:rPr>
          <w:rFonts w:ascii="Arial" w:hAnsi="Arial" w:cs="Arial"/>
        </w:rPr>
        <w:lastRenderedPageBreak/>
        <w:t xml:space="preserve">estas cargas supera el límite operativo de la memoria de trabajo, ya que una sobrecarga cognitiva agota los recursos disponibles para la adquisición de esquemas; en cambio, mediante la práctica deliberada, los esquemas logran una automatización que permite procesar el conocimiento de forma inconsciente y espontánea sin saturar la memoria. </w:t>
      </w:r>
    </w:p>
    <w:p w14:paraId="51F3ED04" w14:textId="77777777" w:rsidR="00EC0E2D" w:rsidRPr="00EC0E2D" w:rsidRDefault="00EC0E2D" w:rsidP="00C970C3">
      <w:pPr>
        <w:jc w:val="both"/>
        <w:rPr>
          <w:rFonts w:ascii="Arial" w:hAnsi="Arial" w:cs="Arial"/>
        </w:rPr>
      </w:pPr>
      <w:r w:rsidRPr="00EC0E2D">
        <w:rPr>
          <w:rFonts w:ascii="Arial" w:hAnsi="Arial" w:cs="Arial"/>
        </w:rPr>
        <w:t xml:space="preserve">La arquitectura de la aplicación educativa </w:t>
      </w:r>
      <w:proofErr w:type="spellStart"/>
      <w:r w:rsidRPr="00EC0E2D">
        <w:rPr>
          <w:rFonts w:ascii="Arial" w:hAnsi="Arial" w:cs="Arial"/>
        </w:rPr>
        <w:t>gamificada</w:t>
      </w:r>
      <w:proofErr w:type="spellEnd"/>
      <w:r w:rsidRPr="00EC0E2D">
        <w:rPr>
          <w:rFonts w:ascii="Arial" w:hAnsi="Arial" w:cs="Arial"/>
        </w:rPr>
        <w:t xml:space="preserve"> de matemáticas desarrollada para este trabajo especial de grado se vincula directamente con los supuestos de la Carga Cognitiva, ofreciendo oportunidades críticas para potenciar la carga relevante y mitigar los efectos de la sobrecarga extrínseca. Al dosificar y segmentar los contenidos matemáticos en una estructura de seis etapas temáticas y veinte niveles progresivos, el diseño reduce estratégicamente la carga cognitiva intrínseca de la aplicación. Esto evita que la limitada memoria de trabajo del usuario sea bombardeada con demasiados elementos de información nuevos e inconexos de forma simultánea. Asimismo, la distribución escalonada proporciona la estructura idónea para que la memoria de trabajo empaquete progresivamente los conceptos en bloques lógicos dentro de la memoria de largo plazo, donde la práctica recurrente induce la automatización de los esquemas de resolución matemática. Una vez que un concepto matemático se automatiza, deja de consumir espacio en la memoria de trabajo, permitiendo avanzar hacia niveles de mayor complejidad sin experimentar un colapso en el procesamiento mental. En este mismo sentido, la implementación de una prueba final obligatoria para desbloquear la siguiente etapa actúa como un filtro instruccional que asegura la correcta fijación y automatización de los esquemas antes de introducir nuevos contenidos. Si se permitiera al estudiante acceder a una nueva etapa temática sin haber consolidado los esquemas de la lección anterior en su memoria de largo plazo, dichos conocimientos previos se comportarían ante su mente como información totalmente nueva, provocando una saturación inmediata de la memoria de trabajo al intentar resolver problemas complejos y bloqueando el aprendizaje. </w:t>
      </w:r>
    </w:p>
    <w:p w14:paraId="15D89B5B" w14:textId="77777777" w:rsidR="00EC0E2D" w:rsidRPr="00EC0E2D" w:rsidRDefault="00EC0E2D" w:rsidP="00C970C3">
      <w:pPr>
        <w:jc w:val="both"/>
        <w:rPr>
          <w:rFonts w:ascii="Arial" w:hAnsi="Arial" w:cs="Arial"/>
        </w:rPr>
      </w:pPr>
      <w:r w:rsidRPr="00EC0E2D">
        <w:rPr>
          <w:rFonts w:ascii="Arial" w:hAnsi="Arial" w:cs="Arial"/>
        </w:rPr>
        <w:t xml:space="preserve">Por otra parte, la inclusión de niveles basados en verdadero/falso y selección simple sirve como una excelente herramienta de diseño para minimizar la carga cognitiva extrínseca. Al plantear ejercicios estructurados mediante estos formatos simplificados, se elimina la necesidad de utilizar el análisis de medios-fines, una estrategia heurística ciega empleada por novatos en problemas de búsqueda libre que devora una inmensa capacidad de procesamiento al obligar al sujeto a mantener simultáneamente en mente el estado actual del problema, la meta final y las </w:t>
      </w:r>
      <w:proofErr w:type="gramStart"/>
      <w:r w:rsidRPr="00EC0E2D">
        <w:rPr>
          <w:rFonts w:ascii="Arial" w:hAnsi="Arial" w:cs="Arial"/>
        </w:rPr>
        <w:t>submetas acumuladas</w:t>
      </w:r>
      <w:proofErr w:type="gramEnd"/>
      <w:r w:rsidRPr="00EC0E2D">
        <w:rPr>
          <w:rFonts w:ascii="Arial" w:hAnsi="Arial" w:cs="Arial"/>
        </w:rPr>
        <w:t xml:space="preserve">. Al remover esta compleja búsqueda inversa, se libera un espacio sustancial en la memoria de trabajo y se reorienta la atención selectiva del estudiante directamente hacia las propiedades estructurales del principio matemático evaluado, maximizando la carga germánica. Finalmente, el diseño de </w:t>
      </w:r>
      <w:r w:rsidRPr="00EC0E2D">
        <w:rPr>
          <w:rFonts w:ascii="Arial" w:hAnsi="Arial" w:cs="Arial"/>
        </w:rPr>
        <w:lastRenderedPageBreak/>
        <w:t>niveles basados en minijuegos interactivos en tiempo real representa el desafío instruccional más crítico de la investigación bajo la perspectiva de la TCC, ya que sitúa al usuario dentro del paradigma de la doble tarea. En este entorno, la ejecución y supervivencia dentro del videojuego se convierte en la tarea primaria del estudiante, absorbiendo gran parte de su atención selectiva, recursos psicomotrices y procesamiento visual de forma continua. Dado que la capacidad cognitiva humana es fija, si el minijuego presenta una mecánica confusa o demasiados estímulos visuales irrelevantes, generará una masiva sobrecarga extrínseca que restará o bloqueará los escasos recursos de procesamiento que la memoria de trabajo necesita destinar para la tarea secundaria, la cual consiste en la asimilación del esquema matemático subyacente. Por lo tanto, para garantizar el éxito pedagógico, la mecánica del juego debe entrelazarse de forma natural con el desafío matemático y evitar la saturación simultánea de los canales sensoriales, transformando el esfuerzo lúdico en carga relevante para el aprendizaje.</w:t>
      </w:r>
    </w:p>
    <w:p w14:paraId="01327BFD" w14:textId="77777777" w:rsidR="00E11DCD" w:rsidRPr="00EC0E2D" w:rsidRDefault="00E11DCD" w:rsidP="00874F52">
      <w:pPr>
        <w:rPr>
          <w:rFonts w:ascii="Arial" w:hAnsi="Arial" w:cs="Arial"/>
        </w:rPr>
      </w:pPr>
    </w:p>
    <w:p w14:paraId="7DE19687" w14:textId="77777777" w:rsidR="00EC0E2D" w:rsidRDefault="00EC0E2D" w:rsidP="00874F52">
      <w:pPr>
        <w:rPr>
          <w:rFonts w:ascii="Arial" w:hAnsi="Arial" w:cs="Arial"/>
          <w:lang w:val="es-MX"/>
        </w:rPr>
      </w:pPr>
    </w:p>
    <w:p w14:paraId="06E780A5" w14:textId="16303FA5" w:rsidR="0099689D" w:rsidRDefault="0099689D" w:rsidP="00874F52">
      <w:pPr>
        <w:rPr>
          <w:rFonts w:ascii="Arial" w:hAnsi="Arial" w:cs="Arial"/>
          <w:b/>
          <w:bCs/>
        </w:rPr>
      </w:pPr>
      <w:r w:rsidRPr="0099689D">
        <w:rPr>
          <w:rFonts w:ascii="Arial" w:hAnsi="Arial" w:cs="Arial"/>
          <w:b/>
          <w:bCs/>
        </w:rPr>
        <w:t>TEORÍA DE LA CARGA COGNITIVA</w:t>
      </w:r>
    </w:p>
    <w:p w14:paraId="3BE95D86" w14:textId="49843A8D" w:rsidR="000B3C64" w:rsidRDefault="000B3C64" w:rsidP="00874F52">
      <w:pPr>
        <w:rPr>
          <w:rFonts w:ascii="Arial" w:hAnsi="Arial" w:cs="Arial"/>
          <w:lang w:val="es-MX"/>
        </w:rPr>
      </w:pPr>
      <w:hyperlink r:id="rId7" w:history="1">
        <w:r w:rsidRPr="00135406">
          <w:rPr>
            <w:rStyle w:val="Hipervnculo"/>
            <w:rFonts w:ascii="Arial" w:hAnsi="Arial" w:cs="Arial"/>
            <w:lang w:val="es-MX"/>
          </w:rPr>
          <w:t>https://scispace.com/papers/cognitive-load-during-problem-solving-effects-on-learning-11y26xlk4a</w:t>
        </w:r>
      </w:hyperlink>
    </w:p>
    <w:p w14:paraId="2BA00A2C" w14:textId="77777777" w:rsidR="000B3C64" w:rsidRDefault="000B3C64" w:rsidP="00874F52">
      <w:pPr>
        <w:rPr>
          <w:rFonts w:ascii="Arial" w:hAnsi="Arial" w:cs="Arial"/>
          <w:lang w:val="es-MX"/>
        </w:rPr>
      </w:pPr>
    </w:p>
    <w:p w14:paraId="6CFF7B60" w14:textId="67CB3FD4" w:rsidR="000B3C64" w:rsidRPr="000B3C64" w:rsidRDefault="000B3C64" w:rsidP="00874F52">
      <w:pPr>
        <w:rPr>
          <w:rFonts w:ascii="Arial" w:hAnsi="Arial" w:cs="Arial"/>
          <w:b/>
          <w:bCs/>
          <w:lang w:val="es-MX"/>
        </w:rPr>
      </w:pPr>
      <w:r w:rsidRPr="000B3C64">
        <w:rPr>
          <w:rFonts w:ascii="Arial" w:hAnsi="Arial" w:cs="Arial"/>
          <w:b/>
          <w:bCs/>
          <w:lang w:val="es-MX"/>
        </w:rPr>
        <w:t>TEORÍA DE LA CARGA COGNITIVA DISEÑO MULTIMEDIA Y APRENDIZAJE</w:t>
      </w:r>
    </w:p>
    <w:p w14:paraId="4CC6D400" w14:textId="0B52A347" w:rsidR="000B3C64" w:rsidRDefault="000B3C64" w:rsidP="00874F52">
      <w:pPr>
        <w:rPr>
          <w:rFonts w:ascii="Arial" w:hAnsi="Arial" w:cs="Arial"/>
          <w:lang w:val="es-MX"/>
        </w:rPr>
      </w:pPr>
      <w:r w:rsidRPr="000B3C64">
        <w:rPr>
          <w:rFonts w:ascii="Arial" w:hAnsi="Arial" w:cs="Arial"/>
          <w:lang w:val="es-MX"/>
        </w:rPr>
        <w:t>https://dialnet.unirioja.es/descarga/articulo/4430004.pdf</w:t>
      </w:r>
    </w:p>
    <w:p w14:paraId="70532D8F" w14:textId="77777777" w:rsidR="000B3C64" w:rsidRPr="000B3C64" w:rsidRDefault="000B3C64" w:rsidP="00874F52">
      <w:pPr>
        <w:rPr>
          <w:rFonts w:ascii="Arial" w:hAnsi="Arial" w:cs="Arial"/>
          <w:lang w:val="es-MX"/>
        </w:rPr>
      </w:pPr>
    </w:p>
    <w:sectPr w:rsidR="000B3C64" w:rsidRPr="000B3C6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93A"/>
    <w:rsid w:val="000B3C64"/>
    <w:rsid w:val="0013593A"/>
    <w:rsid w:val="001F0373"/>
    <w:rsid w:val="00230F5C"/>
    <w:rsid w:val="002B17FD"/>
    <w:rsid w:val="00414375"/>
    <w:rsid w:val="004E7247"/>
    <w:rsid w:val="006025E5"/>
    <w:rsid w:val="00757130"/>
    <w:rsid w:val="007B4765"/>
    <w:rsid w:val="00874F52"/>
    <w:rsid w:val="0099689D"/>
    <w:rsid w:val="00BE2F22"/>
    <w:rsid w:val="00C970C3"/>
    <w:rsid w:val="00D276DA"/>
    <w:rsid w:val="00D66884"/>
    <w:rsid w:val="00DB4664"/>
    <w:rsid w:val="00DD6EDD"/>
    <w:rsid w:val="00E11DCD"/>
    <w:rsid w:val="00EC0E2D"/>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7ECCA"/>
  <w15:chartTrackingRefBased/>
  <w15:docId w15:val="{1171FD78-ADDC-4654-9396-D9EAD150F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5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35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359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359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359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359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359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359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359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59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359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359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359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359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359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359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359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3593A"/>
    <w:rPr>
      <w:rFonts w:eastAsiaTheme="majorEastAsia" w:cstheme="majorBidi"/>
      <w:color w:val="272727" w:themeColor="text1" w:themeTint="D8"/>
    </w:rPr>
  </w:style>
  <w:style w:type="paragraph" w:styleId="Ttulo">
    <w:name w:val="Title"/>
    <w:basedOn w:val="Normal"/>
    <w:next w:val="Normal"/>
    <w:link w:val="TtuloCar"/>
    <w:uiPriority w:val="10"/>
    <w:qFormat/>
    <w:rsid w:val="00135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359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359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359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3593A"/>
    <w:pPr>
      <w:spacing w:before="160"/>
      <w:jc w:val="center"/>
    </w:pPr>
    <w:rPr>
      <w:i/>
      <w:iCs/>
      <w:color w:val="404040" w:themeColor="text1" w:themeTint="BF"/>
    </w:rPr>
  </w:style>
  <w:style w:type="character" w:customStyle="1" w:styleId="CitaCar">
    <w:name w:val="Cita Car"/>
    <w:basedOn w:val="Fuentedeprrafopredeter"/>
    <w:link w:val="Cita"/>
    <w:uiPriority w:val="29"/>
    <w:rsid w:val="0013593A"/>
    <w:rPr>
      <w:i/>
      <w:iCs/>
      <w:color w:val="404040" w:themeColor="text1" w:themeTint="BF"/>
    </w:rPr>
  </w:style>
  <w:style w:type="paragraph" w:styleId="Prrafodelista">
    <w:name w:val="List Paragraph"/>
    <w:basedOn w:val="Normal"/>
    <w:uiPriority w:val="34"/>
    <w:qFormat/>
    <w:rsid w:val="0013593A"/>
    <w:pPr>
      <w:ind w:left="720"/>
      <w:contextualSpacing/>
    </w:pPr>
  </w:style>
  <w:style w:type="character" w:styleId="nfasisintenso">
    <w:name w:val="Intense Emphasis"/>
    <w:basedOn w:val="Fuentedeprrafopredeter"/>
    <w:uiPriority w:val="21"/>
    <w:qFormat/>
    <w:rsid w:val="0013593A"/>
    <w:rPr>
      <w:i/>
      <w:iCs/>
      <w:color w:val="0F4761" w:themeColor="accent1" w:themeShade="BF"/>
    </w:rPr>
  </w:style>
  <w:style w:type="paragraph" w:styleId="Citadestacada">
    <w:name w:val="Intense Quote"/>
    <w:basedOn w:val="Normal"/>
    <w:next w:val="Normal"/>
    <w:link w:val="CitadestacadaCar"/>
    <w:uiPriority w:val="30"/>
    <w:qFormat/>
    <w:rsid w:val="00135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3593A"/>
    <w:rPr>
      <w:i/>
      <w:iCs/>
      <w:color w:val="0F4761" w:themeColor="accent1" w:themeShade="BF"/>
    </w:rPr>
  </w:style>
  <w:style w:type="character" w:styleId="Referenciaintensa">
    <w:name w:val="Intense Reference"/>
    <w:basedOn w:val="Fuentedeprrafopredeter"/>
    <w:uiPriority w:val="32"/>
    <w:qFormat/>
    <w:rsid w:val="0013593A"/>
    <w:rPr>
      <w:b/>
      <w:bCs/>
      <w:smallCaps/>
      <w:color w:val="0F4761" w:themeColor="accent1" w:themeShade="BF"/>
      <w:spacing w:val="5"/>
    </w:rPr>
  </w:style>
  <w:style w:type="character" w:styleId="Hipervnculo">
    <w:name w:val="Hyperlink"/>
    <w:basedOn w:val="Fuentedeprrafopredeter"/>
    <w:uiPriority w:val="99"/>
    <w:unhideWhenUsed/>
    <w:rsid w:val="00874F52"/>
    <w:rPr>
      <w:color w:val="467886" w:themeColor="hyperlink"/>
      <w:u w:val="single"/>
    </w:rPr>
  </w:style>
  <w:style w:type="character" w:styleId="Mencinsinresolver">
    <w:name w:val="Unresolved Mention"/>
    <w:basedOn w:val="Fuentedeprrafopredeter"/>
    <w:uiPriority w:val="99"/>
    <w:semiHidden/>
    <w:unhideWhenUsed/>
    <w:rsid w:val="00874F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cispace.com/papers/cognitive-load-during-problem-solving-effects-on-learning-11y26xlk4a"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nlinelibrary.wiley.com/doi/pdf/10.1207/s15516709cog1202_4" TargetMode="External"/><Relationship Id="rId5" Type="http://schemas.openxmlformats.org/officeDocument/2006/relationships/hyperlink" Target="https://eric.ed.gov/?id=ED053419" TargetMode="External"/><Relationship Id="rId4" Type="http://schemas.openxmlformats.org/officeDocument/2006/relationships/hyperlink" Target="https://www.ideals.illinois.edu/items/18096" TargetMode="Externa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2452</Words>
  <Characters>13488</Characters>
  <Application>Microsoft Office Word</Application>
  <DocSecurity>0</DocSecurity>
  <Lines>112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Yorch_XD 2004</dc:creator>
  <cp:keywords/>
  <dc:description/>
  <cp:lastModifiedBy>Yorch_XD 2004</cp:lastModifiedBy>
  <cp:revision>6</cp:revision>
  <dcterms:created xsi:type="dcterms:W3CDTF">2026-06-21T21:25:00Z</dcterms:created>
  <dcterms:modified xsi:type="dcterms:W3CDTF">2026-06-22T04:19:00Z</dcterms:modified>
</cp:coreProperties>
</file>