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No Funcionales Del Sistema REAlimenta</w:t>
      </w:r>
    </w:p>
    <w:p>
      <w:r>
        <w:t>Curso Taller de Desarrollo de Software</w:t>
      </w:r>
    </w:p>
    <w:p>
      <w:r>
        <w:t>Equipo del proyecto REAlimenta</w:t>
      </w:r>
    </w:p>
    <w:p>
      <w:r>
        <w:t>Versión 2.0</w:t>
      </w:r>
    </w:p>
    <w:p>
      <w:r>
        <w:t>Fecha 21 de octubre de 2026</w:t>
      </w:r>
    </w:p>
    <w:p>
      <w:r>
        <w:br w:type="page"/>
      </w:r>
    </w:p>
    <w:p>
      <w:pPr>
        <w:pStyle w:val="Heading1"/>
      </w:pPr>
      <w:r>
        <w:t>1 Introducción</w:t>
      </w:r>
    </w:p>
    <w:p>
      <w:r>
        <w:t>REAlimenta conecta establecimientos con excedentes declarados y organizaciones beneficiarias de Puno. Esta línea base distingue controles implementados, pruebas ejecutadas y objetivos pendientes de medición. Las funciones de donaciones y solicitudes utilizan API Express y PostgreSQL real. La evaluación de ruta es logística y temporal; las condiciones del alimento son declaradas por los actores.</w:t>
      </w:r>
    </w:p>
    <w:p>
      <w:pPr>
        <w:pStyle w:val="Heading1"/>
      </w:pPr>
      <w:r>
        <w:t>2 Propósito</w:t>
      </w:r>
    </w:p>
    <w:p>
      <w:r>
        <w:t>Establecer criterios verificables de calidad para el MVP y evidencias que permitan demostrar sus capacidades en el curso. Un requisito se marca probado solamente cuando existe una comprobación ejecutada dentro del alcance indicado.</w:t>
      </w:r>
    </w:p>
    <w:p>
      <w:pPr>
        <w:pStyle w:val="Heading1"/>
      </w:pPr>
      <w:r>
        <w:t>3 Alcance</w:t>
      </w:r>
    </w:p>
    <w:p>
      <w:r>
        <w:t>Incluye autenticación mínima, permisos, donaciones, solicitudes, geocodificación, mapas, rutas y evaluación temporal. El seguimiento físico, custodia, recepción, notificaciones, incidencias y verificación administrativa completa permanecen pendientes y se identifican así en la interfaz.</w:t>
      </w:r>
    </w:p>
    <w:p>
      <w:pPr>
        <w:pStyle w:val="Heading1"/>
      </w:pPr>
      <w:r>
        <w:t>4 Estado actual del proyecto</w:t>
      </w:r>
    </w:p>
    <w:p>
      <w:r>
        <w:t>El MVP conserva HTML, CSS y JavaScript Vanilla. Las publicaciones y decisiones se almacenan en PostgreSQL 17.10 aislado en este equipo. Las cuentas demostrativas están previamente verificadas mediante semillas; el registro público crea perfiles pendientes. Los datos de demostración usan puntos públicos de Puno y no atribuyen esas ubicaciones a establecimientos u organizaciones reales.</w:t>
      </w:r>
    </w:p>
    <w:p>
      <w:pPr>
        <w:pStyle w:val="Heading1"/>
      </w:pPr>
      <w:r>
        <w:t>5 Arquitectura</w:t>
      </w:r>
    </w:p>
    <w:p>
      <w:r>
        <w:t>Navegador HTML CSS JavaScript y Leaflet -&gt; API Node.js Express -&gt; PostgreSQL. La API valida permisos, transiciones, coordenadas, fechas y tiempos. La selección única combina bloqueo transaccional de donación e índice único parcial. Nominatim resuelve búsquedas explícitas y OSRM obtiene carretera y duración; OpenRouteService puede configurarse como alternativa con clave privada en backend. Las estimaciones no incluyen tráfico en vivo.</w:t>
      </w:r>
    </w:p>
    <w:p>
      <w:pPr>
        <w:pStyle w:val="Heading1"/>
      </w:pPr>
      <w:r>
        <w:t>6 Requerimientos no funcionales</w:t>
      </w:r>
    </w:p>
    <w:p>
      <w:pPr>
        <w:pStyle w:val="Heading2"/>
      </w:pPr>
      <w:r>
        <w:t>RNF-01 Rendimiento del catálogo</w:t>
      </w:r>
    </w:p>
    <w:p>
      <w:r>
        <w:rPr>
          <w:b/>
        </w:rPr>
        <w:t>Categoría:</w:t>
      </w:r>
      <w:r>
        <w:t xml:space="preserve"> Rendimiento. Prioridad: Alta. Estado: Propuesto.</w:t>
      </w:r>
    </w:p>
    <w:p>
      <w:r>
        <w:rPr>
          <w:b/>
        </w:rPr>
        <w:t>Descripción:</w:t>
      </w:r>
      <w:r>
        <w:t xml:space="preserve"> El catálogo deberá responder con p95 de hasta 2 segundos.</w:t>
      </w:r>
    </w:p>
    <w:p>
      <w:r>
        <w:rPr>
          <w:b/>
        </w:rPr>
        <w:t>Métrica medible:</w:t>
      </w:r>
      <w:r>
        <w:t xml:space="preserve"> 20 sesiones concurrentes, 200 donaciones, 500 solicitudes; 1000 lecturas durante 5 minutos.</w:t>
      </w:r>
    </w:p>
    <w:p>
      <w:r>
        <w:rPr>
          <w:b/>
        </w:rPr>
        <w:t>Criterio de aceptación:</w:t>
      </w:r>
      <w:r>
        <w:t xml:space="preserve"> Al menos 95 % de respuestas en 2 s y menos de 1 % de errores 5xx.</w:t>
      </w:r>
    </w:p>
    <w:p>
      <w:r>
        <w:rPr>
          <w:b/>
        </w:rPr>
        <w:t>Procedimiento de prueba:</w:t>
      </w:r>
      <w:r>
        <w:t xml:space="preserve"> Ejecutar carga autenticada en un entorno documentado; excluir llamadas cartográficas.</w:t>
      </w:r>
    </w:p>
    <w:p>
      <w:r>
        <w:rPr>
          <w:b/>
        </w:rPr>
        <w:t>Resultado obtenido:</w:t>
      </w:r>
      <w:r>
        <w:t xml:space="preserve"> No se ejecutó la carga definida. Las pruebas funcionales no validan este umbral.</w:t>
      </w:r>
    </w:p>
    <w:p>
      <w:r>
        <w:rPr>
          <w:b/>
        </w:rPr>
        <w:t>Evidencia disponible:</w:t>
      </w:r>
      <w:r>
        <w:t xml:space="preserve"> tests/backend.test.mjs prueba catálogo funcional</w:t>
      </w:r>
    </w:p>
    <w:p>
      <w:pPr>
        <w:pStyle w:val="Heading2"/>
      </w:pPr>
      <w:r>
        <w:t>RNF-02 Rendimiento de escritura</w:t>
      </w:r>
    </w:p>
    <w:p>
      <w:r>
        <w:rPr>
          <w:b/>
        </w:rPr>
        <w:t>Categoría:</w:t>
      </w:r>
      <w:r>
        <w:t xml:space="preserve"> Rendimiento. Prioridad: Alta. Estado: Propuesto.</w:t>
      </w:r>
    </w:p>
    <w:p>
      <w:r>
        <w:rPr>
          <w:b/>
        </w:rPr>
        <w:t>Descripción:</w:t>
      </w:r>
      <w:r>
        <w:t xml:space="preserve"> Publicación y registro de solicitudes deberán responder con p95 de hasta 3 segundos.</w:t>
      </w:r>
    </w:p>
    <w:p>
      <w:r>
        <w:rPr>
          <w:b/>
        </w:rPr>
        <w:t>Métrica medible:</w:t>
      </w:r>
      <w:r>
        <w:t xml:space="preserve"> 10 operaciones por segundo durante 5 minutos, sin proveedor externo.</w:t>
      </w:r>
    </w:p>
    <w:p>
      <w:r>
        <w:rPr>
          <w:b/>
        </w:rPr>
        <w:t>Criterio de aceptación:</w:t>
      </w:r>
      <w:r>
        <w:t xml:space="preserve"> p95 &lt;= 3 s, errores 5xx &lt; 1 %, sin duplicados.</w:t>
      </w:r>
    </w:p>
    <w:p>
      <w:r>
        <w:rPr>
          <w:b/>
        </w:rPr>
        <w:t>Procedimiento de prueba:</w:t>
      </w:r>
      <w:r>
        <w:t xml:space="preserve"> Medir publicaciones y solicitudes válidas en base aislada; registrar hardware y volumen.</w:t>
      </w:r>
    </w:p>
    <w:p>
      <w:r>
        <w:rPr>
          <w:b/>
        </w:rPr>
        <w:t>Resultado obtenido:</w:t>
      </w:r>
      <w:r>
        <w:t xml:space="preserve"> Objetivo no medido mediante una prueba de carga representativa.</w:t>
      </w:r>
    </w:p>
    <w:p>
      <w:r>
        <w:rPr>
          <w:b/>
        </w:rPr>
        <w:t>Evidencia disponible:</w:t>
      </w:r>
      <w:r>
        <w:t xml:space="preserve"> Procedimiento definido en este documento</w:t>
      </w:r>
    </w:p>
    <w:p>
      <w:pPr>
        <w:pStyle w:val="Heading2"/>
      </w:pPr>
      <w:r>
        <w:t>RNF-03 Protección de contraseñas</w:t>
      </w:r>
    </w:p>
    <w:p>
      <w:r>
        <w:rPr>
          <w:b/>
        </w:rPr>
        <w:t>Categoría:</w:t>
      </w:r>
      <w:r>
        <w:t xml:space="preserve"> Seguridad. Prioridad: Alta. Estado: Probado.</w:t>
      </w:r>
    </w:p>
    <w:p>
      <w:r>
        <w:rPr>
          <w:b/>
        </w:rPr>
        <w:t>Descripción:</w:t>
      </w:r>
      <w:r>
        <w:t xml:space="preserve"> Las contraseñas se almacenan con scrypt y una sal aleatoria por usuario.</w:t>
      </w:r>
    </w:p>
    <w:p>
      <w:r>
        <w:rPr>
          <w:b/>
        </w:rPr>
        <w:t>Métrica medible:</w:t>
      </w:r>
      <w:r>
        <w:t xml:space="preserve"> 0 contraseñas en texto claro; scrypt N16384 r8 p1, salida de 64 bytes.</w:t>
      </w:r>
    </w:p>
    <w:p>
      <w:r>
        <w:rPr>
          <w:b/>
        </w:rPr>
        <w:t>Criterio de aceptación:</w:t>
      </w:r>
      <w:r>
        <w:t xml:space="preserve"> Login válido funciona; hash no coincide con texto y contraseña incorrecta se rechaza.</w:t>
      </w:r>
    </w:p>
    <w:p>
      <w:r>
        <w:rPr>
          <w:b/>
        </w:rPr>
        <w:t>Procedimiento de prueba:</w:t>
      </w:r>
      <w:r>
        <w:t xml:space="preserve"> Inspeccionar hash en base de pruebas y ejecutar login válido e inválido.</w:t>
      </w:r>
    </w:p>
    <w:p>
      <w:r>
        <w:rPr>
          <w:b/>
        </w:rPr>
        <w:t>Resultado obtenido:</w:t>
      </w:r>
      <w:r>
        <w:t xml:space="preserve"> Prueba automatizada aprobada; contraseña demo pública solo para entorno académico.</w:t>
      </w:r>
    </w:p>
    <w:p>
      <w:r>
        <w:rPr>
          <w:b/>
        </w:rPr>
        <w:t>Evidencia disponible:</w:t>
      </w:r>
      <w:r>
        <w:t xml:space="preserve"> tests/backend.test.mjs autenticación; server/auth.js</w:t>
      </w:r>
    </w:p>
    <w:p>
      <w:pPr>
        <w:pStyle w:val="Heading2"/>
      </w:pPr>
      <w:r>
        <w:t>RNF-04 Autorización por rol y propietario</w:t>
      </w:r>
    </w:p>
    <w:p>
      <w:r>
        <w:rPr>
          <w:b/>
        </w:rPr>
        <w:t>Categoría:</w:t>
      </w:r>
      <w:r>
        <w:t xml:space="preserve"> Seguridad. Prioridad: Alta. Estado: Probado.</w:t>
      </w:r>
    </w:p>
    <w:p>
      <w:r>
        <w:rPr>
          <w:b/>
        </w:rPr>
        <w:t>Descripción:</w:t>
      </w:r>
      <w:r>
        <w:t xml:space="preserve"> Cada operación protegida identifica sesión, rol y dueño del registro.</w:t>
      </w:r>
    </w:p>
    <w:p>
      <w:r>
        <w:rPr>
          <w:b/>
        </w:rPr>
        <w:t>Métrica medible:</w:t>
      </w:r>
      <w:r>
        <w:t xml:space="preserve"> 100 % de casos negativos definidos retornan 401 o 403.</w:t>
      </w:r>
    </w:p>
    <w:p>
      <w:r>
        <w:rPr>
          <w:b/>
        </w:rPr>
        <w:t>Criterio de aceptación:</w:t>
      </w:r>
      <w:r>
        <w:t xml:space="preserve"> Otro donante no lee ni modifica donaciones ajenas; organización no decide solicitudes.</w:t>
      </w:r>
    </w:p>
    <w:p>
      <w:r>
        <w:rPr>
          <w:b/>
        </w:rPr>
        <w:t>Procedimiento de prueba:</w:t>
      </w:r>
      <w:r>
        <w:t xml:space="preserve"> Ejecutar peticiones sin sesión, con rol incorrecto y con propietario ajeno; probar CSRF y Origin.</w:t>
      </w:r>
    </w:p>
    <w:p>
      <w:r>
        <w:rPr>
          <w:b/>
        </w:rPr>
        <w:t>Resultado obtenido:</w:t>
      </w:r>
      <w:r>
        <w:t xml:space="preserve"> Casos API y páginas protegidas aprobados.</w:t>
      </w:r>
    </w:p>
    <w:p>
      <w:r>
        <w:rPr>
          <w:b/>
        </w:rPr>
        <w:t>Evidencia disponible:</w:t>
      </w:r>
      <w:r>
        <w:t xml:space="preserve"> tests/backend.test.mjs seguridad y propiedad</w:t>
      </w:r>
    </w:p>
    <w:p>
      <w:pPr>
        <w:pStyle w:val="Heading2"/>
      </w:pPr>
      <w:r>
        <w:t>RNF-05 Integridad referencial</w:t>
      </w:r>
    </w:p>
    <w:p>
      <w:r>
        <w:rPr>
          <w:b/>
        </w:rPr>
        <w:t>Categoría:</w:t>
      </w:r>
      <w:r>
        <w:t xml:space="preserve"> Integridad de datos. Prioridad: Alta. Estado: Probado.</w:t>
      </w:r>
    </w:p>
    <w:p>
      <w:r>
        <w:rPr>
          <w:b/>
        </w:rPr>
        <w:t>Descripción:</w:t>
      </w:r>
      <w:r>
        <w:t xml:space="preserve"> PostgreSQL debe rechazar solicitudes y eventos con referencias inexistentes.</w:t>
      </w:r>
    </w:p>
    <w:p>
      <w:r>
        <w:rPr>
          <w:b/>
        </w:rPr>
        <w:t>Métrica medible:</w:t>
      </w:r>
      <w:r>
        <w:t xml:space="preserve"> Claves primarias y foráneas en todas las entidades de negocio.</w:t>
      </w:r>
    </w:p>
    <w:p>
      <w:r>
        <w:rPr>
          <w:b/>
        </w:rPr>
        <w:t>Criterio de aceptación:</w:t>
      </w:r>
      <w:r>
        <w:t xml:space="preserve"> Una solicitud huérfana produce error PostgreSQL 23503.</w:t>
      </w:r>
    </w:p>
    <w:p>
      <w:r>
        <w:rPr>
          <w:b/>
        </w:rPr>
        <w:t>Procedimiento de prueba:</w:t>
      </w:r>
      <w:r>
        <w:t xml:space="preserve"> Intentar insertar una solicitud con donación inexistente en base aislada.</w:t>
      </w:r>
    </w:p>
    <w:p>
      <w:r>
        <w:rPr>
          <w:b/>
        </w:rPr>
        <w:t>Resultado obtenido:</w:t>
      </w:r>
      <w:r>
        <w:t xml:space="preserve"> PostgreSQL rechazó el registro huérfano.</w:t>
      </w:r>
    </w:p>
    <w:p>
      <w:r>
        <w:rPr>
          <w:b/>
        </w:rPr>
        <w:t>Evidencia disponible:</w:t>
      </w:r>
      <w:r>
        <w:t xml:space="preserve"> tests/backend.test.mjs integridad; db/migrations/001_initial.sql</w:t>
      </w:r>
    </w:p>
    <w:p>
      <w:pPr>
        <w:pStyle w:val="Heading2"/>
      </w:pPr>
      <w:r>
        <w:t>RNF-06 Aceptación única concurrente</w:t>
      </w:r>
    </w:p>
    <w:p>
      <w:r>
        <w:rPr>
          <w:b/>
        </w:rPr>
        <w:t>Categoría:</w:t>
      </w:r>
      <w:r>
        <w:t xml:space="preserve"> Confiabilidad. Prioridad: Alta. Estado: Probado.</w:t>
      </w:r>
    </w:p>
    <w:p>
      <w:r>
        <w:rPr>
          <w:b/>
        </w:rPr>
        <w:t>Descripción:</w:t>
      </w:r>
      <w:r>
        <w:t xml:space="preserve"> Como máximo una solicitud puede ser aceptada por donación.</w:t>
      </w:r>
    </w:p>
    <w:p>
      <w:r>
        <w:rPr>
          <w:b/>
        </w:rPr>
        <w:t>Métrica medible:</w:t>
      </w:r>
      <w:r>
        <w:t xml:space="preserve"> 0 donaciones con dos aceptadas, incluso con dos decisiones concurrentes.</w:t>
      </w:r>
    </w:p>
    <w:p>
      <w:r>
        <w:rPr>
          <w:b/>
        </w:rPr>
        <w:t>Criterio de aceptación:</w:t>
      </w:r>
      <w:r>
        <w:t xml:space="preserve"> Una respuesta 200 y otra 409; las otras pendientes quedan rechazadas en la misma transacción.</w:t>
      </w:r>
    </w:p>
    <w:p>
      <w:r>
        <w:rPr>
          <w:b/>
        </w:rPr>
        <w:t>Procedimiento de prueba:</w:t>
      </w:r>
      <w:r>
        <w:t xml:space="preserve"> Lanzar dos aceptaciones en paralelo; consultar estado final y probar el índice parcial.</w:t>
      </w:r>
    </w:p>
    <w:p>
      <w:r>
        <w:rPr>
          <w:b/>
        </w:rPr>
        <w:t>Resultado obtenido:</w:t>
      </w:r>
      <w:r>
        <w:t xml:space="preserve"> Concurrencia aprobada; el índice único también rechaza duplicado con 23505.</w:t>
      </w:r>
    </w:p>
    <w:p>
      <w:r>
        <w:rPr>
          <w:b/>
        </w:rPr>
        <w:t>Evidencia disponible:</w:t>
      </w:r>
      <w:r>
        <w:t xml:space="preserve"> tests/backend.test.mjs aceptación transaccional</w:t>
      </w:r>
    </w:p>
    <w:p>
      <w:pPr>
        <w:pStyle w:val="Heading2"/>
      </w:pPr>
      <w:r>
        <w:t>RNF-07 Adaptación de interfaz</w:t>
      </w:r>
    </w:p>
    <w:p>
      <w:r>
        <w:rPr>
          <w:b/>
        </w:rPr>
        <w:t>Categoría:</w:t>
      </w:r>
      <w:r>
        <w:t xml:space="preserve"> Usabilidad. Prioridad: Alta. Estado: Probado.</w:t>
      </w:r>
    </w:p>
    <w:p>
      <w:r>
        <w:rPr>
          <w:b/>
        </w:rPr>
        <w:t>Descripción:</w:t>
      </w:r>
      <w:r>
        <w:t xml:space="preserve"> La interfaz debe ser utilizable en móvil y escritorio sin desbordamiento horizontal.</w:t>
      </w:r>
    </w:p>
    <w:p>
      <w:r>
        <w:rPr>
          <w:b/>
        </w:rPr>
        <w:t>Métrica medible:</w:t>
      </w:r>
      <w:r>
        <w:t xml:space="preserve"> Anchos de 360 y 1440 px; controles principales visibles y operables.</w:t>
      </w:r>
    </w:p>
    <w:p>
      <w:r>
        <w:rPr>
          <w:b/>
        </w:rPr>
        <w:t>Criterio de aceptación:</w:t>
      </w:r>
      <w:r>
        <w:t xml:space="preserve"> Login, navegación, catálogo y formularios conservan acceso a sus acciones.</w:t>
      </w:r>
    </w:p>
    <w:p>
      <w:r>
        <w:rPr>
          <w:b/>
        </w:rPr>
        <w:t>Procedimiento de prueba:</w:t>
      </w:r>
      <w:r>
        <w:t xml:space="preserve"> Ejecutar recorrido UI en Chrome y comprobar scrollWidth contra clientWidth.</w:t>
      </w:r>
    </w:p>
    <w:p>
      <w:r>
        <w:rPr>
          <w:b/>
        </w:rPr>
        <w:t>Resultado obtenido:</w:t>
      </w:r>
      <w:r>
        <w:t xml:space="preserve"> Prueba UI aprobada: landing, dashboard y catálogo a 360 px sin desbordamiento; recorrido de escritorio aprobado.</w:t>
      </w:r>
    </w:p>
    <w:p>
      <w:r>
        <w:rPr>
          <w:b/>
        </w:rPr>
        <w:t>Evidencia disponible:</w:t>
      </w:r>
      <w:r>
        <w:t xml:space="preserve"> tests/ui.spec.mjs; docs/evidencias/mobile.png</w:t>
      </w:r>
    </w:p>
    <w:p>
      <w:pPr>
        <w:pStyle w:val="Heading2"/>
      </w:pPr>
      <w:r>
        <w:t>RNF-08 Errores comprensibles</w:t>
      </w:r>
    </w:p>
    <w:p>
      <w:r>
        <w:rPr>
          <w:b/>
        </w:rPr>
        <w:t>Categoría:</w:t>
      </w:r>
      <w:r>
        <w:t xml:space="preserve"> Usabilidad. Prioridad: Alta. Estado: Probado.</w:t>
      </w:r>
    </w:p>
    <w:p>
      <w:r>
        <w:rPr>
          <w:b/>
        </w:rPr>
        <w:t>Descripción:</w:t>
      </w:r>
      <w:r>
        <w:t xml:space="preserve"> Los errores deben explicar el dato o estado que impide la operación.</w:t>
      </w:r>
    </w:p>
    <w:p>
      <w:r>
        <w:rPr>
          <w:b/>
        </w:rPr>
        <w:t>Métrica medible:</w:t>
      </w:r>
      <w:r>
        <w:t xml:space="preserve"> Errores JSON con code y message; 0 trazas SQL o secretos devueltos al cliente.</w:t>
      </w:r>
    </w:p>
    <w:p>
      <w:r>
        <w:rPr>
          <w:b/>
        </w:rPr>
        <w:t>Criterio de aceptación:</w:t>
      </w:r>
      <w:r>
        <w:t xml:space="preserve"> Cantidad inválida, fecha incoherente, permiso y conflicto tienen mensaje específico.</w:t>
      </w:r>
    </w:p>
    <w:p>
      <w:r>
        <w:rPr>
          <w:b/>
        </w:rPr>
        <w:t>Procedimiento de prueba:</w:t>
      </w:r>
      <w:r>
        <w:t xml:space="preserve"> Enviar entradas inválidas y revisar API y formulario.</w:t>
      </w:r>
    </w:p>
    <w:p>
      <w:r>
        <w:rPr>
          <w:b/>
        </w:rPr>
        <w:t>Resultado obtenido:</w:t>
      </w:r>
      <w:r>
        <w:t xml:space="preserve"> Validaciones API aprobadas; mensajes visibles integrados en formularios.</w:t>
      </w:r>
    </w:p>
    <w:p>
      <w:r>
        <w:rPr>
          <w:b/>
        </w:rPr>
        <w:t>Evidencia disponible:</w:t>
      </w:r>
      <w:r>
        <w:t xml:space="preserve"> tests/backend.test.mjs validaciones; server/errors.js</w:t>
      </w:r>
    </w:p>
    <w:p>
      <w:pPr>
        <w:pStyle w:val="Heading2"/>
      </w:pPr>
      <w:r>
        <w:t>RNF-09 Origen y destino visibles</w:t>
      </w:r>
    </w:p>
    <w:p>
      <w:r>
        <w:rPr>
          <w:b/>
        </w:rPr>
        <w:t>Categoría:</w:t>
      </w:r>
      <w:r>
        <w:t xml:space="preserve"> Integración cartográfica. Prioridad: Alta. Estado: Probado.</w:t>
      </w:r>
    </w:p>
    <w:p>
      <w:r>
        <w:rPr>
          <w:b/>
        </w:rPr>
        <w:t>Descripción:</w:t>
      </w:r>
      <w:r>
        <w:t xml:space="preserve"> El mapa debe distinguir establecimiento y organización y dibujar geometría del proveedor.</w:t>
      </w:r>
    </w:p>
    <w:p>
      <w:r>
        <w:rPr>
          <w:b/>
        </w:rPr>
        <w:t>Métrica medible:</w:t>
      </w:r>
      <w:r>
        <w:t xml:space="preserve"> 2 marcadores A y B; polilínea GeoJSON de carretera, zoom y desplazamiento.</w:t>
      </w:r>
    </w:p>
    <w:p>
      <w:r>
        <w:rPr>
          <w:b/>
        </w:rPr>
        <w:t>Criterio de aceptación:</w:t>
      </w:r>
      <w:r>
        <w:t xml:space="preserve"> No se sustituye la ruta de carretera por una línea recta o imagen estática.</w:t>
      </w:r>
    </w:p>
    <w:p>
      <w:r>
        <w:rPr>
          <w:b/>
        </w:rPr>
        <w:t>Procedimiento de prueba:</w:t>
      </w:r>
      <w:r>
        <w:t xml:space="preserve"> Abrir detalle y Ver ruta de entrega, inspeccionar marcadores y polilínea.</w:t>
      </w:r>
    </w:p>
    <w:p>
      <w:r>
        <w:rPr>
          <w:b/>
        </w:rPr>
        <w:t>Resultado obtenido:</w:t>
      </w:r>
      <w:r>
        <w:t xml:space="preserve"> Ruta de carretera dibujada con 23 puntos, marcadores A/B y 6/6 teselas cargadas en Chrome.</w:t>
      </w:r>
    </w:p>
    <w:p>
      <w:r>
        <w:rPr>
          <w:b/>
        </w:rPr>
        <w:t>Evidencia disponible:</w:t>
      </w:r>
      <w:r>
        <w:t xml:space="preserve"> js/maps.js; tests/ui.spec.mjs; docs/evidencias/ruta-real.png</w:t>
      </w:r>
    </w:p>
    <w:p>
      <w:pPr>
        <w:pStyle w:val="Heading2"/>
      </w:pPr>
      <w:r>
        <w:t>RNF-10 Rutas de fuente real</w:t>
      </w:r>
    </w:p>
    <w:p>
      <w:r>
        <w:rPr>
          <w:b/>
        </w:rPr>
        <w:t>Categoría:</w:t>
      </w:r>
      <w:r>
        <w:t xml:space="preserve"> Interoperabilidad. Prioridad: Alta. Estado: Probado.</w:t>
      </w:r>
    </w:p>
    <w:p>
      <w:r>
        <w:rPr>
          <w:b/>
        </w:rPr>
        <w:t>Descripción:</w:t>
      </w:r>
      <w:r>
        <w:t xml:space="preserve"> La distancia y duración deben proceder de OSRM u OpenRouteService configurado.</w:t>
      </w:r>
    </w:p>
    <w:p>
      <w:r>
        <w:rPr>
          <w:b/>
        </w:rPr>
        <w:t>Métrica medible:</w:t>
      </w:r>
      <w:r>
        <w:t xml:space="preserve"> distancia_km = metros/1000; duración = segundos/60; proveedor y fecha original visibles.</w:t>
      </w:r>
    </w:p>
    <w:p>
      <w:r>
        <w:rPr>
          <w:b/>
        </w:rPr>
        <w:t>Criterio de aceptación:</w:t>
      </w:r>
      <w:r>
        <w:t xml:space="preserve"> Una consulta real devuelve geometría, distancia y duración válidas.</w:t>
      </w:r>
    </w:p>
    <w:p>
      <w:r>
        <w:rPr>
          <w:b/>
        </w:rPr>
        <w:t>Procedimiento de prueba:</w:t>
      </w:r>
      <w:r>
        <w:t xml:space="preserve"> Ejecutar node scripts/verify-map-providers.mjs con puntos públicos en Puno.</w:t>
      </w:r>
    </w:p>
    <w:p>
      <w:r>
        <w:rPr>
          <w:b/>
        </w:rPr>
        <w:t>Resultado obtenido:</w:t>
      </w:r>
      <w:r>
        <w:t xml:space="preserve"> Nominatim confirmó Catedral y Parque Pino; OSRM devolvió 1.258 km, 3 min y 23 puntos de geometría.</w:t>
      </w:r>
    </w:p>
    <w:p>
      <w:r>
        <w:rPr>
          <w:b/>
        </w:rPr>
        <w:t>Evidencia disponible:</w:t>
      </w:r>
      <w:r>
        <w:t xml:space="preserve"> docs/evidencias/proveedores-reales.json</w:t>
      </w:r>
    </w:p>
    <w:p>
      <w:pPr>
        <w:pStyle w:val="Heading2"/>
      </w:pPr>
      <w:r>
        <w:t>RNF-11 Fallo de proveedor explícito</w:t>
      </w:r>
    </w:p>
    <w:p>
      <w:r>
        <w:rPr>
          <w:b/>
        </w:rPr>
        <w:t>Categoría:</w:t>
      </w:r>
      <w:r>
        <w:t xml:space="preserve"> Confiabilidad. Prioridad: Alta. Estado: Probado.</w:t>
      </w:r>
    </w:p>
    <w:p>
      <w:r>
        <w:rPr>
          <w:b/>
        </w:rPr>
        <w:t>Descripción:</w:t>
      </w:r>
      <w:r>
        <w:t xml:space="preserve"> Un fallo externo o ausencia de ruta no genera tiempos ni distancias inventados.</w:t>
      </w:r>
    </w:p>
    <w:p>
      <w:r>
        <w:rPr>
          <w:b/>
        </w:rPr>
        <w:t>Métrica medible:</w:t>
      </w:r>
      <w:r>
        <w:t xml:space="preserve"> Timeout de 15 s; errores 502 o SIN_RUTA; acción de reintento disponible.</w:t>
      </w:r>
    </w:p>
    <w:p>
      <w:r>
        <w:rPr>
          <w:b/>
        </w:rPr>
        <w:t>Criterio de aceptación:</w:t>
      </w:r>
      <w:r>
        <w:t xml:space="preserve"> 503 externo, NoRoute y respuesta inválida no producen una ruta utilizable.</w:t>
      </w:r>
    </w:p>
    <w:p>
      <w:r>
        <w:rPr>
          <w:b/>
        </w:rPr>
        <w:t>Procedimiento de prueba:</w:t>
      </w:r>
      <w:r>
        <w:t xml:space="preserve"> Ejecutar proveedor HTTP controlado solo dentro de la prueba automatizada.</w:t>
      </w:r>
    </w:p>
    <w:p>
      <w:r>
        <w:rPr>
          <w:b/>
        </w:rPr>
        <w:t>Resultado obtenido:</w:t>
      </w:r>
      <w:r>
        <w:t xml:space="preserve"> Casos de fallo y respuesta inválida aprobados; producción conserva proveedor real.</w:t>
      </w:r>
    </w:p>
    <w:p>
      <w:r>
        <w:rPr>
          <w:b/>
        </w:rPr>
        <w:t>Evidencia disponible:</w:t>
      </w:r>
      <w:r>
        <w:t xml:space="preserve"> tests/providers.test.mjs</w:t>
      </w:r>
    </w:p>
    <w:p>
      <w:pPr>
        <w:pStyle w:val="Heading2"/>
      </w:pPr>
      <w:r>
        <w:t>RNF-12 Protección de configuración</w:t>
      </w:r>
    </w:p>
    <w:p>
      <w:r>
        <w:rPr>
          <w:b/>
        </w:rPr>
        <w:t>Categoría:</w:t>
      </w:r>
      <w:r>
        <w:t xml:space="preserve"> Seguridad. Prioridad: Alta. Estado: Probado.</w:t>
      </w:r>
    </w:p>
    <w:p>
      <w:r>
        <w:rPr>
          <w:b/>
        </w:rPr>
        <w:t>Descripción:</w:t>
      </w:r>
      <w:r>
        <w:t xml:space="preserve"> Credenciales PostgreSQL y claves privadas solo residen en backend y .env ignorado.</w:t>
      </w:r>
    </w:p>
    <w:p>
      <w:r>
        <w:rPr>
          <w:b/>
        </w:rPr>
        <w:t>Métrica medible:</w:t>
      </w:r>
      <w:r>
        <w:t xml:space="preserve"> 0 claves privadas en archivos servidos; .env y server no accesibles por HTTP.</w:t>
      </w:r>
    </w:p>
    <w:p>
      <w:r>
        <w:rPr>
          <w:b/>
        </w:rPr>
        <w:t>Criterio de aceptación:</w:t>
      </w:r>
      <w:r>
        <w:t xml:space="preserve"> Peticiones a .env, SQL y fuentes privadas retornan 404.</w:t>
      </w:r>
    </w:p>
    <w:p>
      <w:r>
        <w:rPr>
          <w:b/>
        </w:rPr>
        <w:t>Procedimiento de prueba:</w:t>
      </w:r>
      <w:r>
        <w:t xml:space="preserve"> Probar rutas privadas y revisar lista blanca de archivos estáticos.</w:t>
      </w:r>
    </w:p>
    <w:p>
      <w:r>
        <w:rPr>
          <w:b/>
        </w:rPr>
        <w:t>Resultado obtenido:</w:t>
      </w:r>
      <w:r>
        <w:t xml:space="preserve"> Pruebas de archivos privados aprobadas; frontend usa API propia.</w:t>
      </w:r>
    </w:p>
    <w:p>
      <w:r>
        <w:rPr>
          <w:b/>
        </w:rPr>
        <w:t>Evidencia disponible:</w:t>
      </w:r>
      <w:r>
        <w:t xml:space="preserve"> tests/backend.test.mjs; .gitignore; server/app.js</w:t>
      </w:r>
    </w:p>
    <w:p>
      <w:pPr>
        <w:pStyle w:val="Heading2"/>
      </w:pPr>
      <w:r>
        <w:t>RNF-13 Auditoría de decisiones</w:t>
      </w:r>
    </w:p>
    <w:p>
      <w:r>
        <w:rPr>
          <w:b/>
        </w:rPr>
        <w:t>Categoría:</w:t>
      </w:r>
      <w:r>
        <w:t xml:space="preserve"> Trazabilidad. Prioridad: Alta. Estado: Probado.</w:t>
      </w:r>
    </w:p>
    <w:p>
      <w:r>
        <w:rPr>
          <w:b/>
        </w:rPr>
        <w:t>Descripción:</w:t>
      </w:r>
      <w:r>
        <w:t xml:space="preserve"> Publicación, edición, cancelación, aceptación, rechazo y sesión registran actor y fecha.</w:t>
      </w:r>
    </w:p>
    <w:p>
      <w:r>
        <w:rPr>
          <w:b/>
        </w:rPr>
        <w:t>Métrica medible:</w:t>
      </w:r>
      <w:r>
        <w:t xml:space="preserve"> Cada acción sensible produce un evento en auditoria dentro de su transacción.</w:t>
      </w:r>
    </w:p>
    <w:p>
      <w:r>
        <w:rPr>
          <w:b/>
        </w:rPr>
        <w:t>Criterio de aceptación:</w:t>
      </w:r>
      <w:r>
        <w:t xml:space="preserve"> Se puede reconstruir quién decidió y el estado relacionado sin exponer contraseñas.</w:t>
      </w:r>
    </w:p>
    <w:p>
      <w:r>
        <w:rPr>
          <w:b/>
        </w:rPr>
        <w:t>Procedimiento de prueba:</w:t>
      </w:r>
      <w:r>
        <w:t xml:space="preserve"> Consultar eventos tras acciones y verificar permisos del historial.</w:t>
      </w:r>
    </w:p>
    <w:p>
      <w:r>
        <w:rPr>
          <w:b/>
        </w:rPr>
        <w:t>Resultado obtenido:</w:t>
      </w:r>
      <w:r>
        <w:t xml:space="preserve"> Auditoría y control de lectura aprobados.</w:t>
      </w:r>
    </w:p>
    <w:p>
      <w:r>
        <w:rPr>
          <w:b/>
        </w:rPr>
        <w:t>Evidencia disponible:</w:t>
      </w:r>
      <w:r>
        <w:t xml:space="preserve"> tests/backend.test.mjs auditoría; tabla auditoria</w:t>
      </w:r>
    </w:p>
    <w:p>
      <w:pPr>
        <w:pStyle w:val="Heading2"/>
      </w:pPr>
      <w:r>
        <w:t>RNF-14 Persistencia entre reinicios</w:t>
      </w:r>
    </w:p>
    <w:p>
      <w:r>
        <w:rPr>
          <w:b/>
        </w:rPr>
        <w:t>Categoría:</w:t>
      </w:r>
      <w:r>
        <w:t xml:space="preserve"> Confiabilidad. Prioridad: Alta. Estado: Probado.</w:t>
      </w:r>
    </w:p>
    <w:p>
      <w:r>
        <w:rPr>
          <w:b/>
        </w:rPr>
        <w:t>Descripción:</w:t>
      </w:r>
      <w:r>
        <w:t xml:space="preserve"> Donaciones, solicitudes y sesiones deben sobrevivir el cierre del navegador y reinicio del backend.</w:t>
      </w:r>
    </w:p>
    <w:p>
      <w:r>
        <w:rPr>
          <w:b/>
        </w:rPr>
        <w:t>Métrica medible:</w:t>
      </w:r>
      <w:r>
        <w:t xml:space="preserve"> 0 pérdida de registros al detener y volver a iniciar un proceso Node.</w:t>
      </w:r>
    </w:p>
    <w:p>
      <w:r>
        <w:rPr>
          <w:b/>
        </w:rPr>
        <w:t>Criterio de aceptación:</w:t>
      </w:r>
      <w:r>
        <w:t xml:space="preserve"> La misma donación y sesión se recuperan después del reinicio.</w:t>
      </w:r>
    </w:p>
    <w:p>
      <w:r>
        <w:rPr>
          <w:b/>
        </w:rPr>
        <w:t>Procedimiento de prueba:</w:t>
      </w:r>
      <w:r>
        <w:t xml:space="preserve"> Crear registro, detener proceso propio, reiniciarlo y consultar por ID con la misma sesión.</w:t>
      </w:r>
    </w:p>
    <w:p>
      <w:r>
        <w:rPr>
          <w:b/>
        </w:rPr>
        <w:t>Resultado obtenido:</w:t>
      </w:r>
      <w:r>
        <w:t xml:space="preserve"> Prueba con dos procesos Node sucesivos aprobada; almacenamiento PostgreSQL real.</w:t>
      </w:r>
    </w:p>
    <w:p>
      <w:r>
        <w:rPr>
          <w:b/>
        </w:rPr>
        <w:t>Evidencia disponible:</w:t>
      </w:r>
      <w:r>
        <w:t xml:space="preserve"> tests/backend.test.mjs persistencia de proceso</w:t>
      </w:r>
    </w:p>
    <w:p>
      <w:pPr>
        <w:pStyle w:val="Heading2"/>
      </w:pPr>
      <w:r>
        <w:t>RNF-15 Acceso a datos personales</w:t>
      </w:r>
    </w:p>
    <w:p>
      <w:r>
        <w:rPr>
          <w:b/>
        </w:rPr>
        <w:t>Categoría:</w:t>
      </w:r>
      <w:r>
        <w:t xml:space="preserve"> Privacidad. Prioridad: Alta. Estado: Implementado.</w:t>
      </w:r>
    </w:p>
    <w:p>
      <w:r>
        <w:rPr>
          <w:b/>
        </w:rPr>
        <w:t>Descripción:</w:t>
      </w:r>
      <w:r>
        <w:t xml:space="preserve"> Los datos de contacto y direcciones se limitan a los actores autorizados.</w:t>
      </w:r>
    </w:p>
    <w:p>
      <w:r>
        <w:rPr>
          <w:b/>
        </w:rPr>
        <w:t>Métrica medible:</w:t>
      </w:r>
      <w:r>
        <w:t xml:space="preserve"> Sesiones HttpOnly, autorización de solicitudes por propietario y archivos privados denegados.</w:t>
      </w:r>
    </w:p>
    <w:p>
      <w:r>
        <w:rPr>
          <w:b/>
        </w:rPr>
        <w:t>Criterio de aceptación:</w:t>
      </w:r>
      <w:r>
        <w:t xml:space="preserve"> Una organización no consulta solicitudes de otra; solo participantes o administración ven su información.</w:t>
      </w:r>
    </w:p>
    <w:p>
      <w:r>
        <w:rPr>
          <w:b/>
        </w:rPr>
        <w:t>Procedimiento de prueba:</w:t>
      </w:r>
      <w:r>
        <w:t xml:space="preserve"> Ejecutar matriz de acceso; revisar respuestas JSON e inventario de datos.</w:t>
      </w:r>
    </w:p>
    <w:p>
      <w:r>
        <w:rPr>
          <w:b/>
        </w:rPr>
        <w:t>Resultado obtenido:</w:t>
      </w:r>
      <w:r>
        <w:t xml:space="preserve"> Controles técnicos básicos implementados y probados. Retención, ejercicio de derechos y revisión legal de producción pendientes.</w:t>
      </w:r>
    </w:p>
    <w:p>
      <w:r>
        <w:rPr>
          <w:b/>
        </w:rPr>
        <w:t>Evidencia disponible:</w:t>
      </w:r>
      <w:r>
        <w:t xml:space="preserve"> server/auth.js; server/business.js; tests/backend.test.mjs</w:t>
      </w:r>
    </w:p>
    <w:p>
      <w:pPr>
        <w:pStyle w:val="Heading2"/>
      </w:pPr>
      <w:r>
        <w:t>RNF-16 Información insuficiente</w:t>
      </w:r>
    </w:p>
    <w:p>
      <w:r>
        <w:rPr>
          <w:b/>
        </w:rPr>
        <w:t>Categoría:</w:t>
      </w:r>
      <w:r>
        <w:t xml:space="preserve"> Integración cartográfica. Prioridad: Alta. Estado: Probado.</w:t>
      </w:r>
    </w:p>
    <w:p>
      <w:r>
        <w:rPr>
          <w:b/>
        </w:rPr>
        <w:t>Descripción:</w:t>
      </w:r>
      <w:r>
        <w:t xml:space="preserve"> La evaluación debe ser gris cuando falte ruta, límite declarado o información necesaria.</w:t>
      </w:r>
    </w:p>
    <w:p>
      <w:r>
        <w:rPr>
          <w:b/>
        </w:rPr>
        <w:t>Métrica medible:</w:t>
      </w:r>
      <w:r>
        <w:t xml:space="preserve"> Estado gris con explicación; tiempo_total no inventado.</w:t>
      </w:r>
    </w:p>
    <w:p>
      <w:r>
        <w:rPr>
          <w:b/>
        </w:rPr>
        <w:t>Criterio de aceptación:</w:t>
      </w:r>
      <w:r>
        <w:t xml:space="preserve"> Sin límite o sin ruta no aparece un semáforo verde.</w:t>
      </w:r>
    </w:p>
    <w:p>
      <w:r>
        <w:rPr>
          <w:b/>
        </w:rPr>
        <w:t>Procedimiento de prueba:</w:t>
      </w:r>
      <w:r>
        <w:t xml:space="preserve"> Ejecutar unidades sin fecha/ruta y cadena de frío sin declaración.</w:t>
      </w:r>
    </w:p>
    <w:p>
      <w:r>
        <w:rPr>
          <w:b/>
        </w:rPr>
        <w:t>Resultado obtenido:</w:t>
      </w:r>
      <w:r>
        <w:t xml:space="preserve"> Pruebas de estado gris aprobadas.</w:t>
      </w:r>
    </w:p>
    <w:p>
      <w:r>
        <w:rPr>
          <w:b/>
        </w:rPr>
        <w:t>Evidencia disponible:</w:t>
      </w:r>
      <w:r>
        <w:t xml:space="preserve"> tests/logistics.test.js</w:t>
      </w:r>
    </w:p>
    <w:p>
      <w:pPr>
        <w:pStyle w:val="Heading2"/>
      </w:pPr>
      <w:r>
        <w:t>RNF-17 Disponibilidad del servicio</w:t>
      </w:r>
    </w:p>
    <w:p>
      <w:r>
        <w:rPr>
          <w:b/>
        </w:rPr>
        <w:t>Categoría:</w:t>
      </w:r>
      <w:r>
        <w:t xml:space="preserve"> Disponibilidad. Prioridad: Media. Estado: Propuesto.</w:t>
      </w:r>
    </w:p>
    <w:p>
      <w:r>
        <w:rPr>
          <w:b/>
        </w:rPr>
        <w:t>Descripción:</w:t>
      </w:r>
      <w:r>
        <w:t xml:space="preserve"> Para un futuro piloto se propone disponibilidad mensual de al menos 99.5 %.</w:t>
      </w:r>
    </w:p>
    <w:p>
      <w:r>
        <w:rPr>
          <w:b/>
        </w:rPr>
        <w:t>Métrica medible:</w:t>
      </w:r>
      <w:r>
        <w:t xml:space="preserve"> Monitoreo cada minuto; mantenimiento anunciado de hasta 2 h/mes excluido.</w:t>
      </w:r>
    </w:p>
    <w:p>
      <w:r>
        <w:rPr>
          <w:b/>
        </w:rPr>
        <w:t>Criterio de aceptación:</w:t>
      </w:r>
      <w:r>
        <w:t xml:space="preserve"> Disponibilidad medida durante un mes alcanza el objetivo.</w:t>
      </w:r>
    </w:p>
    <w:p>
      <w:r>
        <w:rPr>
          <w:b/>
        </w:rPr>
        <w:t>Procedimiento de prueba:</w:t>
      </w:r>
      <w:r>
        <w:t xml:space="preserve"> Instalar monitoreo externo y registrar incidentes en despliegue de piloto.</w:t>
      </w:r>
    </w:p>
    <w:p>
      <w:r>
        <w:rPr>
          <w:b/>
        </w:rPr>
        <w:t>Resultado obtenido:</w:t>
      </w:r>
      <w:r>
        <w:t xml:space="preserve"> Solo se verificó arranque local y endpoint health; no existe medición mensual ni SLA productivo.</w:t>
      </w:r>
    </w:p>
    <w:p>
      <w:r>
        <w:rPr>
          <w:b/>
        </w:rPr>
        <w:t>Evidencia disponible:</w:t>
      </w:r>
      <w:r>
        <w:t xml:space="preserve"> GET /api/health; objetivo pendiente de despliegue</w:t>
      </w:r>
    </w:p>
    <w:p>
      <w:pPr>
        <w:pStyle w:val="Heading2"/>
      </w:pPr>
      <w:r>
        <w:t>RNF-18 Recuperación de datos</w:t>
      </w:r>
    </w:p>
    <w:p>
      <w:r>
        <w:rPr>
          <w:b/>
        </w:rPr>
        <w:t>Categoría:</w:t>
      </w:r>
      <w:r>
        <w:t xml:space="preserve"> Confiabilidad. Prioridad: Alta. Estado: Propuesto.</w:t>
      </w:r>
    </w:p>
    <w:p>
      <w:r>
        <w:rPr>
          <w:b/>
        </w:rPr>
        <w:t>Descripción:</w:t>
      </w:r>
      <w:r>
        <w:t xml:space="preserve"> Antes de producción deben existir respaldos y un procedimiento de restauración probado.</w:t>
      </w:r>
    </w:p>
    <w:p>
      <w:r>
        <w:rPr>
          <w:b/>
        </w:rPr>
        <w:t>Métrica medible:</w:t>
      </w:r>
      <w:r>
        <w:t xml:space="preserve"> RTO propuesto &lt;= 4 h; RPO propuesto &lt;= 24 h; respaldo diario cifrado.</w:t>
      </w:r>
    </w:p>
    <w:p>
      <w:r>
        <w:rPr>
          <w:b/>
        </w:rPr>
        <w:t>Criterio de aceptación:</w:t>
      </w:r>
      <w:r>
        <w:t xml:space="preserve"> Restauración en base aislada recupera registros dentro de los límites.</w:t>
      </w:r>
    </w:p>
    <w:p>
      <w:r>
        <w:rPr>
          <w:b/>
        </w:rPr>
        <w:t>Procedimiento de prueba:</w:t>
      </w:r>
      <w:r>
        <w:t xml:space="preserve"> Ejecutar pg_dump, conservar copia cifrada y ensayar restauración trimestral.</w:t>
      </w:r>
    </w:p>
    <w:p>
      <w:r>
        <w:rPr>
          <w:b/>
        </w:rPr>
        <w:t>Resultado obtenido:</w:t>
      </w:r>
      <w:r>
        <w:t xml:space="preserve"> PostgreSQL persistente configurado; no se ensayó un plan de respaldo/restauración.</w:t>
      </w:r>
    </w:p>
    <w:p>
      <w:r>
        <w:rPr>
          <w:b/>
        </w:rPr>
        <w:t>Evidencia disponible:</w:t>
      </w:r>
      <w:r>
        <w:t xml:space="preserve"> docs/Configuracion_PostgreSQL.md; procedimiento pendiente</w:t>
      </w:r>
    </w:p>
    <w:p>
      <w:pPr>
        <w:pStyle w:val="Heading2"/>
      </w:pPr>
      <w:r>
        <w:t>RNF-19 Mantenibilidad del MVP</w:t>
      </w:r>
    </w:p>
    <w:p>
      <w:r>
        <w:rPr>
          <w:b/>
        </w:rPr>
        <w:t>Categoría:</w:t>
      </w:r>
      <w:r>
        <w:t xml:space="preserve"> Mantenibilidad. Prioridad: Media. Estado: Probado.</w:t>
      </w:r>
    </w:p>
    <w:p>
      <w:r>
        <w:rPr>
          <w:b/>
        </w:rPr>
        <w:t>Descripción:</w:t>
      </w:r>
      <w:r>
        <w:t xml:space="preserve"> Presentación, autenticación, reglas y logística deben estar separadas y tener regresiones ejecutables.</w:t>
      </w:r>
    </w:p>
    <w:p>
      <w:r>
        <w:rPr>
          <w:b/>
        </w:rPr>
        <w:t>Métrica medible:</w:t>
      </w:r>
      <w:r>
        <w:t xml:space="preserve"> Módulos independientes; npm test con 0 fallos; migraciones versionadas.</w:t>
      </w:r>
    </w:p>
    <w:p>
      <w:r>
        <w:rPr>
          <w:b/>
        </w:rPr>
        <w:t>Criterio de aceptación:</w:t>
      </w:r>
      <w:r>
        <w:t xml:space="preserve"> Un cambio de reglas puede probarse sin navegador y sin alterar datos del MVP.</w:t>
      </w:r>
    </w:p>
    <w:p>
      <w:r>
        <w:rPr>
          <w:b/>
        </w:rPr>
        <w:t>Procedimiento de prueba:</w:t>
      </w:r>
      <w:r>
        <w:t xml:space="preserve"> Ejecutar suite en una base temporal creada para pruebas.</w:t>
      </w:r>
    </w:p>
    <w:p>
      <w:r>
        <w:rPr>
          <w:b/>
        </w:rPr>
        <w:t>Resultado obtenido:</w:t>
      </w:r>
      <w:r>
        <w:t xml:space="preserve"> Suite automatizada aprobada y base de pruebas aislada eliminada al finalizar.</w:t>
      </w:r>
    </w:p>
    <w:p>
      <w:r>
        <w:rPr>
          <w:b/>
        </w:rPr>
        <w:t>Evidencia disponible:</w:t>
      </w:r>
      <w:r>
        <w:t xml:space="preserve"> server/**; tests/**; scripts/migrate.mjs</w:t>
      </w:r>
    </w:p>
    <w:p>
      <w:pPr>
        <w:pStyle w:val="Heading2"/>
      </w:pPr>
      <w:r>
        <w:t>RNF-20 Compatibilidad de navegador</w:t>
      </w:r>
    </w:p>
    <w:p>
      <w:r>
        <w:rPr>
          <w:b/>
        </w:rPr>
        <w:t>Categoría:</w:t>
      </w:r>
      <w:r>
        <w:t xml:space="preserve"> Compatibilidad. Prioridad: Media. Estado: Implementado.</w:t>
      </w:r>
    </w:p>
    <w:p>
      <w:r>
        <w:rPr>
          <w:b/>
        </w:rPr>
        <w:t>Descripción:</w:t>
      </w:r>
      <w:r>
        <w:t xml:space="preserve"> La interfaz debe operar en navegadores modernos de escritorio y móviles.</w:t>
      </w:r>
    </w:p>
    <w:p>
      <w:r>
        <w:rPr>
          <w:b/>
        </w:rPr>
        <w:t>Métrica medible:</w:t>
      </w:r>
      <w:r>
        <w:t xml:space="preserve"> Chrome y Edge actuales como base del MVP; Firefox/Safari como objetivo adicional.</w:t>
      </w:r>
    </w:p>
    <w:p>
      <w:r>
        <w:rPr>
          <w:b/>
        </w:rPr>
        <w:t>Criterio de aceptación:</w:t>
      </w:r>
      <w:r>
        <w:t xml:space="preserve"> Flujo esencial sin errores JavaScript en Chrome; portada verificable en Edge.</w:t>
      </w:r>
    </w:p>
    <w:p>
      <w:r>
        <w:rPr>
          <w:b/>
        </w:rPr>
        <w:t>Procedimiento de prueba:</w:t>
      </w:r>
      <w:r>
        <w:t xml:space="preserve"> Ejecutar pruebas de navegador; repetir manualmente en otras familias antes de producción.</w:t>
      </w:r>
    </w:p>
    <w:p>
      <w:r>
        <w:rPr>
          <w:b/>
        </w:rPr>
        <w:t>Resultado obtenido:</w:t>
      </w:r>
      <w:r>
        <w:t xml:space="preserve"> Cuatro pruebas UI Chrome aprobadas, sin errores JavaScript ni de consola. Portada abierta en Edge; Firefox y Safari pendientes.</w:t>
      </w:r>
    </w:p>
    <w:p>
      <w:r>
        <w:rPr>
          <w:b/>
        </w:rPr>
        <w:t>Evidencia disponible:</w:t>
      </w:r>
      <w:r>
        <w:t xml:space="preserve"> tests/ui.spec.mjs; capturas docs/evidencias</w:t>
      </w:r>
    </w:p>
    <w:p>
      <w:pPr>
        <w:pStyle w:val="Heading2"/>
      </w:pPr>
      <w:r>
        <w:t>RNF-21 Escalabilidad objetivo</w:t>
      </w:r>
    </w:p>
    <w:p>
      <w:r>
        <w:rPr>
          <w:b/>
        </w:rPr>
        <w:t>Categoría:</w:t>
      </w:r>
      <w:r>
        <w:t xml:space="preserve"> Escalabilidad. Prioridad: Media. Estado: Propuesto.</w:t>
      </w:r>
    </w:p>
    <w:p>
      <w:r>
        <w:rPr>
          <w:b/>
        </w:rPr>
        <w:t>Descripción:</w:t>
      </w:r>
      <w:r>
        <w:t xml:space="preserve"> La API deberá conservar el rendimiento con crecimiento de registros y concurrencia.</w:t>
      </w:r>
    </w:p>
    <w:p>
      <w:r>
        <w:rPr>
          <w:b/>
        </w:rPr>
        <w:t>Métrica medible:</w:t>
      </w:r>
      <w:r>
        <w:t xml:space="preserve"> Objetivo 100 usuarios concurrentes y 100000 donaciones con índices y paginación.</w:t>
      </w:r>
    </w:p>
    <w:p>
      <w:r>
        <w:rPr>
          <w:b/>
        </w:rPr>
        <w:t>Criterio de aceptación:</w:t>
      </w:r>
      <w:r>
        <w:t xml:space="preserve"> Mantener RNF01 y RNF02 en el volumen definido.</w:t>
      </w:r>
    </w:p>
    <w:p>
      <w:r>
        <w:rPr>
          <w:b/>
        </w:rPr>
        <w:t>Procedimiento de prueba:</w:t>
      </w:r>
      <w:r>
        <w:t xml:space="preserve"> Cargar datos sintéticos en entorno aislado y medir latencias y plan de consultas.</w:t>
      </w:r>
    </w:p>
    <w:p>
      <w:r>
        <w:rPr>
          <w:b/>
        </w:rPr>
        <w:t>Resultado obtenido:</w:t>
      </w:r>
      <w:r>
        <w:t xml:space="preserve"> Índices implementados; volumen y concurrencia objetivo no probados.</w:t>
      </w:r>
    </w:p>
    <w:p>
      <w:r>
        <w:rPr>
          <w:b/>
        </w:rPr>
        <w:t>Evidencia disponible:</w:t>
      </w:r>
      <w:r>
        <w:t xml:space="preserve"> db/migrations/001_initial.sql</w:t>
      </w:r>
    </w:p>
    <w:p>
      <w:pPr>
        <w:pStyle w:val="Heading2"/>
      </w:pPr>
      <w:r>
        <w:t>RNF-22 Contrato de intercambio</w:t>
      </w:r>
    </w:p>
    <w:p>
      <w:r>
        <w:rPr>
          <w:b/>
        </w:rPr>
        <w:t>Categoría:</w:t>
      </w:r>
      <w:r>
        <w:t xml:space="preserve"> Interoperabilidad. Prioridad: Alta. Estado: Probado.</w:t>
      </w:r>
    </w:p>
    <w:p>
      <w:r>
        <w:rPr>
          <w:b/>
        </w:rPr>
        <w:t>Descripción:</w:t>
      </w:r>
      <w:r>
        <w:t xml:space="preserve"> La API usa REST, JSON UTF-8 e instantes ISO8601 con zona horaria.</w:t>
      </w:r>
    </w:p>
    <w:p>
      <w:r>
        <w:rPr>
          <w:b/>
        </w:rPr>
        <w:t>Métrica medible:</w:t>
      </w:r>
      <w:r>
        <w:t xml:space="preserve"> 400/401/403/404/409/422/429/502 coherentes; fechas timestamptz en PostgreSQL.</w:t>
      </w:r>
    </w:p>
    <w:p>
      <w:r>
        <w:rPr>
          <w:b/>
        </w:rPr>
        <w:t>Criterio de aceptación:</w:t>
      </w:r>
      <w:r>
        <w:t xml:space="preserve"> Frontend interpreta fechas America/Lima y errores sin depender de datos locales ficticios.</w:t>
      </w:r>
    </w:p>
    <w:p>
      <w:r>
        <w:rPr>
          <w:b/>
        </w:rPr>
        <w:t>Procedimiento de prueba:</w:t>
      </w:r>
      <w:r>
        <w:t xml:space="preserve"> Ejecutar contratos de donación/solicitud y revisar campos persistidos.</w:t>
      </w:r>
    </w:p>
    <w:p>
      <w:r>
        <w:rPr>
          <w:b/>
        </w:rPr>
        <w:t>Resultado obtenido:</w:t>
      </w:r>
      <w:r>
        <w:t xml:space="preserve"> Contratos y cronología aprobados en integración; endpoints documentados.</w:t>
      </w:r>
    </w:p>
    <w:p>
      <w:r>
        <w:rPr>
          <w:b/>
        </w:rPr>
        <w:t>Evidencia disponible:</w:t>
      </w:r>
      <w:r>
        <w:t xml:space="preserve"> docs/API_REAlimenta.md; tests/backend.test.mjs</w:t>
      </w:r>
    </w:p>
    <w:p>
      <w:pPr>
        <w:pStyle w:val="Heading2"/>
      </w:pPr>
      <w:r>
        <w:t>RNF-23 Uso responsable cartográfico</w:t>
      </w:r>
    </w:p>
    <w:p>
      <w:r>
        <w:rPr>
          <w:b/>
        </w:rPr>
        <w:t>Categoría:</w:t>
      </w:r>
      <w:r>
        <w:t xml:space="preserve"> Integración cartográfica. Prioridad: Alta. Estado: Implementado.</w:t>
      </w:r>
    </w:p>
    <w:p>
      <w:r>
        <w:rPr>
          <w:b/>
        </w:rPr>
        <w:t>Descripción:</w:t>
      </w:r>
      <w:r>
        <w:t xml:space="preserve"> Los servicios públicos deben tener caché, atribución, identificación y límite agregado.</w:t>
      </w:r>
    </w:p>
    <w:p>
      <w:r>
        <w:rPr>
          <w:b/>
        </w:rPr>
        <w:t>Métrica medible:</w:t>
      </w:r>
      <w:r>
        <w:t xml:space="preserve"> Nominatim y OSRM como máximo 1 consulta por 1.1 s por proveedor; caché 24 h/60 min; geocodificación manual, no autocompletado.</w:t>
      </w:r>
    </w:p>
    <w:p>
      <w:r>
        <w:rPr>
          <w:b/>
        </w:rPr>
        <w:t>Criterio de aceptación:</w:t>
      </w:r>
      <w:r>
        <w:t xml:space="preserve"> Se muestra atribución OSM; no se suprime Referer; las búsquedas requieren acción explícita.</w:t>
      </w:r>
    </w:p>
    <w:p>
      <w:r>
        <w:rPr>
          <w:b/>
        </w:rPr>
        <w:t>Procedimiento de prueba:</w:t>
      </w:r>
      <w:r>
        <w:t xml:space="preserve"> Inspeccionar mapa, cabeceras, cola y caché; verificar fecha original del proveedor.</w:t>
      </w:r>
    </w:p>
    <w:p>
      <w:r>
        <w:rPr>
          <w:b/>
        </w:rPr>
        <w:t>Resultado obtenido:</w:t>
      </w:r>
      <w:r>
        <w:t xml:space="preserve"> Implementación con cola, caché y Referrer-Policy strict-origin-when-cross-origin; servicio público solo para uso académico de bajo volumen.</w:t>
      </w:r>
    </w:p>
    <w:p>
      <w:r>
        <w:rPr>
          <w:b/>
        </w:rPr>
        <w:t>Evidencia disponible:</w:t>
      </w:r>
      <w:r>
        <w:t xml:space="preserve"> server/logistics.js; server/app.js; js/maps.js</w:t>
      </w:r>
    </w:p>
    <w:p>
      <w:pPr>
        <w:pStyle w:val="Heading2"/>
      </w:pPr>
      <w:r>
        <w:t>RNF-24 Accesibilidad de controles</w:t>
      </w:r>
    </w:p>
    <w:p>
      <w:r>
        <w:rPr>
          <w:b/>
        </w:rPr>
        <w:t>Categoría:</w:t>
      </w:r>
      <w:r>
        <w:t xml:space="preserve"> Accesibilidad. Prioridad: Alta. Estado: Implementado.</w:t>
      </w:r>
    </w:p>
    <w:p>
      <w:r>
        <w:rPr>
          <w:b/>
        </w:rPr>
        <w:t>Descripción:</w:t>
      </w:r>
      <w:r>
        <w:t xml:space="preserve"> Los controles esenciales deben tener etiquetas, foco visible y operación por teclado.</w:t>
      </w:r>
    </w:p>
    <w:p>
      <w:r>
        <w:rPr>
          <w:b/>
        </w:rPr>
        <w:t>Métrica medible:</w:t>
      </w:r>
      <w:r>
        <w:t xml:space="preserve"> Inputs etiquetados y diálogo nativo; colores acompañados por nombre y mensaje.</w:t>
      </w:r>
    </w:p>
    <w:p>
      <w:r>
        <w:rPr>
          <w:b/>
        </w:rPr>
        <w:t>Criterio de aceptación:</w:t>
      </w:r>
      <w:r>
        <w:t xml:space="preserve"> Es posible iniciar sesión, navegar y cerrar un modal por teclado.</w:t>
      </w:r>
    </w:p>
    <w:p>
      <w:r>
        <w:rPr>
          <w:b/>
        </w:rPr>
        <w:t>Procedimiento de prueba:</w:t>
      </w:r>
      <w:r>
        <w:t xml:space="preserve"> Probar Tab, Enter y Escape; revisar contraste y lectores de pantalla antes de declarar WCAG2.2AA.</w:t>
      </w:r>
    </w:p>
    <w:p>
      <w:r>
        <w:rPr>
          <w:b/>
        </w:rPr>
        <w:t>Resultado obtenido:</w:t>
      </w:r>
      <w:r>
        <w:t xml:space="preserve"> Navegación y diálogo nativo probados por teclado en Chrome. Auditoría completa WCAG y lector de pantalla pendientes.</w:t>
      </w:r>
    </w:p>
    <w:p>
      <w:r>
        <w:rPr>
          <w:b/>
        </w:rPr>
        <w:t>Evidencia disponible:</w:t>
      </w:r>
      <w:r>
        <w:t xml:space="preserve"> HTML; css/mvp.css; tests/ui.spec.mjs</w:t>
      </w:r>
    </w:p>
    <w:p>
      <w:pPr>
        <w:pStyle w:val="Heading1"/>
      </w:pPr>
      <w:r>
        <w:t>7 Métodos de verificación</w:t>
      </w:r>
    </w:p>
    <w:p>
      <w:r>
        <w:t>La suite Node usa una base PostgreSQL temporal y comprueba la API mediante peticiones HTTP, incluyendo acceso cruzado, CSRF, integridad y dos aceptaciones simultáneas. Las pruebas unitarias controlan el reloj para comprobar los límites del semáforo. Solo las pruebas de error cartográfico utilizan un proveedor HTTP controlado; la aplicación normal consulta servicios externos reales. La suite UI opera Chrome y comprueba el recorrido entre dos roles.</w:t>
      </w:r>
    </w:p>
    <w:p>
      <w:pPr>
        <w:pStyle w:val="Heading1"/>
      </w:pPr>
      <w:r>
        <w:t>8 Criterios de aceptación</w:t>
      </w:r>
    </w:p>
    <w:p>
      <w:r>
        <w:t>La demostración académica requiere arranque sin errores, conexión PostgreSQL, publicación persistente, solicitud persistente, aceptación única, permisos negativos y una ruta real consultable. Las metas de carga, disponibilidad mensual, recuperación y certificación completa de accesibilidad requieren pruebas adicionales antes de producción.</w:t>
      </w:r>
    </w:p>
    <w:p>
      <w:pPr>
        <w:pStyle w:val="Heading1"/>
      </w:pPr>
      <w:r>
        <w:t>9 Matriz de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024"/>
        <w:gridCol w:w="417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6EEF5"/>
          </w:tcPr>
          <w:p>
            <w:pPr>
              <w:spacing w:after="0"/>
            </w:pPr>
            <w:r>
              <w:rPr>
                <w:b/>
                <w:sz w:val="18"/>
              </w:rPr>
              <w:t>Requisitos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6EEF5"/>
          </w:tcPr>
          <w:p>
            <w:pPr>
              <w:spacing w:after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6EEF5"/>
          </w:tcPr>
          <w:p>
            <w:pPr>
              <w:spacing w:after="0"/>
            </w:pPr>
            <w:r>
              <w:rPr>
                <w:b/>
                <w:sz w:val="18"/>
              </w:rPr>
              <w:t>Evidencia principal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RNF01 RNF02 RNF21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API y PostgreSQL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Metas propuestas de carga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RNF03 RNF04 RNF12 RNF15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Autenticación y autorización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tests/backend.test.mjs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RNF05 RNF06 RNF13 RNF14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Donaciones y solicitudes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tests/backend.test.mjs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RNF07 RNF08 RNF20 RNF24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tests/ui.spec.mjs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RNF09 RNF10 RNF11 RNF16 RNF23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Mapas y logística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logistics.test.js providers.test.mjs proveedores-reales.json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RNF17 RNF18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Operación futura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Objetivos pendientes de despliegue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RNF19 RNF22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Arquitectura y contrato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tests y documentación API</w:t>
            </w:r>
          </w:p>
        </w:tc>
      </w:tr>
    </w:tbl>
    <w:p/>
    <w:p>
      <w:pPr>
        <w:pStyle w:val="Heading1"/>
      </w:pPr>
      <w:r>
        <w:t>10 Resultados de pruebas</w:t>
      </w:r>
    </w:p>
    <w:p>
      <w:r>
        <w:t>La suite de API, PostgreSQL, logística y errores de proveedores aprobó 23 de 23 pruebas, sin fallos ni omitidas. El reporte generado por el ejecutor está en docs/evidencias/pruebas-unitarias-integracion.tap. La suite de navegador aprobó 4 de 4 pruebas: publicar y aceptar entre roles con ruta real, editar y cancelar, adaptación móvil y protección frente a contenido almacenado ejecutable. Registró cero errores JavaScript y cero errores de consola. La evidencia está en ui-resumen.json y ui-playwright.json. Se verificó también la parada y arranque de PostgreSQL sin pérdida de la base y sin sobrescribir credenciales. Una prueba local no constituye un SLA productivo.</w:t>
      </w:r>
    </w:p>
    <w:p>
      <w:pPr>
        <w:pStyle w:val="Heading1"/>
      </w:pPr>
      <w:r>
        <w:t>11 Limitaciones</w:t>
      </w:r>
    </w:p>
    <w:p>
      <w:r>
        <w:t>La infraestructura actual es local. El usuario PostgreSQL de arranque es administrador para facilitar migraciones y bases aisladas de prueba, y debe reemplazarse por permisos mínimos en producción. HTTPS, respaldos operativos, monitoreo mensual y proveedor cartográfico con garantía requieren despliegue y configuración. Las rutas públicas tienen disponibilidad sin garantía. No hay tráfico en vivo, sensores, validación sanitaria ni firma digital. La aprobación administrativa de perfiles públicos permanece pendiente.</w:t>
      </w:r>
    </w:p>
    <w:p>
      <w:pPr>
        <w:pStyle w:val="Heading1"/>
      </w:pPr>
      <w:r>
        <w:t>12 Conclusiones</w:t>
      </w:r>
    </w:p>
    <w:p>
      <w:r>
        <w:t>Los controles del MVP permiten comprobar transacciones persistentes y decisiones excluyentes entre donante y organización. La calidad documentada se limita a la evidencia ejecutada; los objetivos de capacidad y operación deben verificarse en el entorno de piloto antes de ampliar el uso.</w:t>
      </w:r>
    </w:p>
    <w:p>
      <w:pPr>
        <w:pStyle w:val="Heading1"/>
      </w:pPr>
      <w:r>
        <w:t>13 Referencias técnicas</w:t>
      </w:r>
    </w:p>
    <w:p>
      <w:pPr>
        <w:pStyle w:val="ListBullet"/>
      </w:pPr>
      <w:r>
        <w:t>Documentación Express https://expressjs.com/en/advanced/best-practice-security.html</w:t>
      </w:r>
    </w:p>
    <w:p>
      <w:pPr>
        <w:pStyle w:val="ListBullet"/>
      </w:pPr>
      <w:r>
        <w:t>PostgreSQL https://www.postgresql.org/docs/current/ddl-constraints.html</w:t>
      </w:r>
    </w:p>
    <w:p>
      <w:pPr>
        <w:pStyle w:val="ListBullet"/>
      </w:pPr>
      <w:r>
        <w:t>OSRM API https://project-osrm.org/docs/v5.24.0/api/</w:t>
      </w:r>
    </w:p>
    <w:p>
      <w:pPr>
        <w:pStyle w:val="ListBullet"/>
      </w:pPr>
      <w:r>
        <w:t>Política OSRM https://github.com/Project-OSRM/osrm-backend/wiki/Demo-server</w:t>
      </w:r>
    </w:p>
    <w:p>
      <w:pPr>
        <w:pStyle w:val="ListBullet"/>
      </w:pPr>
      <w:r>
        <w:t>Política Nominatim https://operations.osmfoundation.org/policies/nominatim/</w:t>
      </w:r>
    </w:p>
    <w:p>
      <w:pPr>
        <w:pStyle w:val="ListBullet"/>
      </w:pPr>
      <w:r>
        <w:t>Política de teselas OSM https://operations.osmfoundation.org/policies/tiles/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REAlimenta 2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no funcionales del sistema REAlimenta</dc:title>
  <dc:subject>MVP académico y evidencia de verificación</dc:subject>
  <dc:creator>Equipo del proyecto REAlimenta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