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044DDF">
      <w:pPr>
        <w:spacing w:line="360" w:lineRule="auto"/>
        <w:rPr>
          <w:rFonts w:hint="default" w:ascii="Arial" w:hAnsi="Arial" w:eastAsia="SimSun" w:cs="Arial"/>
          <w:sz w:val="24"/>
          <w:szCs w:val="24"/>
        </w:rPr>
      </w:pPr>
      <w:r>
        <w:rPr>
          <w:rFonts w:hint="default" w:ascii="Arial" w:hAnsi="Arial" w:eastAsia="SimSun" w:cs="Arial"/>
          <w:sz w:val="24"/>
          <w:szCs w:val="24"/>
        </w:rPr>
        <w:t>ACTA DE REUNIÓN N.º 1 – EVALUACIÓN 2</w:t>
      </w:r>
    </w:p>
    <w:p w14:paraId="3F16915A">
      <w:pPr>
        <w:spacing w:line="360" w:lineRule="auto"/>
        <w:rPr>
          <w:rFonts w:hint="default" w:ascii="Arial" w:hAnsi="Arial" w:eastAsia="SimSun" w:cs="Arial"/>
          <w:sz w:val="24"/>
          <w:szCs w:val="24"/>
        </w:rPr>
      </w:pPr>
    </w:p>
    <w:p w14:paraId="59F2F806">
      <w:pPr>
        <w:pStyle w:val="6"/>
        <w:keepNext w:val="0"/>
        <w:keepLines w:val="0"/>
        <w:widowControl/>
        <w:suppressLineNumbers w:val="0"/>
        <w:spacing w:before="0" w:beforeAutospacing="1" w:after="0" w:afterAutospacing="1" w:line="360" w:lineRule="auto"/>
        <w:ind w:left="0" w:right="0"/>
        <w:rPr>
          <w:rFonts w:hint="default" w:ascii="Arial" w:hAnsi="Arial" w:cs="Arial"/>
          <w:sz w:val="24"/>
          <w:szCs w:val="24"/>
        </w:rPr>
      </w:pPr>
      <w:r>
        <w:rPr>
          <w:rStyle w:val="5"/>
          <w:rFonts w:hint="default" w:ascii="Arial" w:hAnsi="Arial" w:cs="Arial"/>
          <w:sz w:val="24"/>
          <w:szCs w:val="24"/>
        </w:rPr>
        <w:t>Proyecto:</w:t>
      </w:r>
      <w:r>
        <w:rPr>
          <w:rFonts w:hint="default" w:ascii="Arial" w:hAnsi="Arial" w:cs="Arial"/>
          <w:sz w:val="24"/>
          <w:szCs w:val="24"/>
        </w:rPr>
        <w:t xml:space="preserve"> MAPUESCUELA</w:t>
      </w:r>
      <w:r>
        <w:rPr>
          <w:rFonts w:hint="default" w:ascii="Arial" w:hAnsi="Arial" w:cs="Arial"/>
          <w:sz w:val="24"/>
          <w:szCs w:val="24"/>
        </w:rPr>
        <w:br w:type="textWrapping"/>
      </w:r>
      <w:r>
        <w:rPr>
          <w:rStyle w:val="5"/>
          <w:rFonts w:hint="default" w:ascii="Arial" w:hAnsi="Arial" w:cs="Arial"/>
          <w:sz w:val="24"/>
          <w:szCs w:val="24"/>
        </w:rPr>
        <w:t>Asignatura:</w:t>
      </w:r>
      <w:r>
        <w:rPr>
          <w:rFonts w:hint="default" w:ascii="Arial" w:hAnsi="Arial" w:cs="Arial"/>
          <w:sz w:val="24"/>
          <w:szCs w:val="24"/>
        </w:rPr>
        <w:t xml:space="preserve"> Integración de Plataformas</w:t>
      </w:r>
      <w:r>
        <w:rPr>
          <w:rFonts w:hint="default" w:ascii="Arial" w:hAnsi="Arial" w:cs="Arial"/>
          <w:sz w:val="24"/>
          <w:szCs w:val="24"/>
        </w:rPr>
        <w:br w:type="textWrapping"/>
      </w:r>
      <w:r>
        <w:rPr>
          <w:rStyle w:val="5"/>
          <w:rFonts w:hint="default" w:ascii="Arial" w:hAnsi="Arial" w:cs="Arial"/>
          <w:sz w:val="24"/>
          <w:szCs w:val="24"/>
        </w:rPr>
        <w:t>Fecha:</w:t>
      </w:r>
      <w:r>
        <w:rPr>
          <w:rFonts w:hint="default" w:ascii="Arial" w:hAnsi="Arial" w:cs="Arial"/>
          <w:sz w:val="24"/>
          <w:szCs w:val="24"/>
        </w:rPr>
        <w:t xml:space="preserve"> 23 al 26 de agosto de 2026</w:t>
      </w:r>
      <w:r>
        <w:rPr>
          <w:rFonts w:hint="default" w:ascii="Arial" w:hAnsi="Arial" w:cs="Arial"/>
          <w:sz w:val="24"/>
          <w:szCs w:val="24"/>
        </w:rPr>
        <w:br w:type="textWrapping"/>
      </w:r>
      <w:r>
        <w:rPr>
          <w:rStyle w:val="5"/>
          <w:rFonts w:hint="default" w:ascii="Arial" w:hAnsi="Arial" w:cs="Arial"/>
          <w:sz w:val="24"/>
          <w:szCs w:val="24"/>
        </w:rPr>
        <w:t>Modalidad:</w:t>
      </w:r>
      <w:r>
        <w:rPr>
          <w:rFonts w:hint="default" w:ascii="Arial" w:hAnsi="Arial" w:cs="Arial"/>
          <w:sz w:val="24"/>
          <w:szCs w:val="24"/>
        </w:rPr>
        <w:t xml:space="preserve"> Coordinación asincrónica mediante chat grupal de WhatsApp</w:t>
      </w:r>
    </w:p>
    <w:p w14:paraId="2A976E31">
      <w:pPr>
        <w:pStyle w:val="6"/>
        <w:keepNext w:val="0"/>
        <w:keepLines w:val="0"/>
        <w:widowControl/>
        <w:suppressLineNumbers w:val="0"/>
        <w:spacing w:before="0" w:beforeAutospacing="1" w:after="0" w:afterAutospacing="1" w:line="360" w:lineRule="auto"/>
        <w:ind w:left="0" w:right="0"/>
        <w:rPr>
          <w:rFonts w:hint="default" w:ascii="Arial" w:hAnsi="Arial" w:cs="Arial"/>
          <w:sz w:val="24"/>
          <w:szCs w:val="24"/>
        </w:rPr>
      </w:pPr>
      <w:r>
        <w:rPr>
          <w:rStyle w:val="5"/>
          <w:rFonts w:hint="default" w:ascii="Arial" w:hAnsi="Arial" w:cs="Arial"/>
          <w:sz w:val="24"/>
          <w:szCs w:val="24"/>
        </w:rPr>
        <w:t>Asistentes:</w:t>
      </w:r>
    </w:p>
    <w:p w14:paraId="5AB167C7">
      <w:pPr>
        <w:keepNext w:val="0"/>
        <w:keepLines w:val="0"/>
        <w:widowControl/>
        <w:numPr>
          <w:numId w:val="0"/>
        </w:numPr>
        <w:suppressLineNumbers w:val="0"/>
        <w:spacing w:before="0" w:beforeAutospacing="1" w:after="0" w:afterAutospacing="1" w:line="360" w:lineRule="auto"/>
        <w:rPr>
          <w:rFonts w:hint="default" w:ascii="Arial" w:hAnsi="Arial" w:cs="Arial"/>
          <w:sz w:val="24"/>
          <w:szCs w:val="24"/>
        </w:rPr>
      </w:pPr>
      <w:r>
        <w:rPr>
          <w:rFonts w:hint="default" w:ascii="Arial" w:hAnsi="Arial" w:cs="Arial"/>
          <w:sz w:val="24"/>
          <w:szCs w:val="24"/>
        </w:rPr>
        <w:t>Antonio Espinoza Soto.</w:t>
      </w:r>
      <w:r>
        <w:rPr>
          <w:rFonts w:hint="default" w:ascii="Arial" w:hAnsi="Arial" w:cs="Arial"/>
          <w:sz w:val="24"/>
          <w:szCs w:val="24"/>
        </w:rPr>
        <w:br w:type="textWrapping"/>
      </w:r>
      <w:r>
        <w:rPr>
          <w:rFonts w:hint="default" w:ascii="Arial" w:hAnsi="Arial" w:cs="Arial"/>
          <w:sz w:val="24"/>
          <w:szCs w:val="24"/>
        </w:rPr>
        <w:t>Nicolás González Jaramillo.</w:t>
      </w:r>
      <w:r>
        <w:rPr>
          <w:rFonts w:hint="default" w:ascii="Arial" w:hAnsi="Arial" w:cs="Arial"/>
          <w:sz w:val="24"/>
          <w:szCs w:val="24"/>
        </w:rPr>
        <w:br w:type="textWrapping"/>
      </w:r>
      <w:r>
        <w:rPr>
          <w:rFonts w:hint="default" w:ascii="Arial" w:hAnsi="Arial" w:cs="Arial"/>
          <w:sz w:val="24"/>
          <w:szCs w:val="24"/>
        </w:rPr>
        <w:t>Yordan Valderrama Agurto.</w:t>
      </w:r>
    </w:p>
    <w:p w14:paraId="143CEFF3">
      <w:pPr>
        <w:pStyle w:val="2"/>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Objetivo</w:t>
      </w:r>
    </w:p>
    <w:p w14:paraId="0EC736B8">
      <w:pPr>
        <w:pStyle w:val="6"/>
        <w:keepNext w:val="0"/>
        <w:keepLines w:val="0"/>
        <w:widowControl/>
        <w:suppressLineNumbers w:val="0"/>
        <w:spacing w:before="0" w:beforeAutospacing="1" w:after="0" w:afterAutospacing="1" w:line="360" w:lineRule="auto"/>
        <w:ind w:left="0" w:right="0"/>
        <w:rPr>
          <w:rFonts w:hint="default" w:ascii="Arial" w:hAnsi="Arial" w:cs="Arial"/>
          <w:sz w:val="24"/>
          <w:szCs w:val="24"/>
        </w:rPr>
      </w:pPr>
      <w:r>
        <w:rPr>
          <w:rFonts w:hint="default" w:ascii="Arial" w:hAnsi="Arial" w:cs="Arial"/>
          <w:sz w:val="24"/>
          <w:szCs w:val="24"/>
        </w:rPr>
        <w:t>Organizar el trabajo correspondiente a la Evaluación 2 del proyecto MAPUESCUELA, revisar las mejoras necesarias en el proceso BPMN TO-BE y analizar la incorporación de tareas automatizadas, Web Services desarrollados en Java y External Workers para su integración con Flowable.</w:t>
      </w:r>
    </w:p>
    <w:p w14:paraId="3F288898">
      <w:pPr>
        <w:pStyle w:val="6"/>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La coordinación se realizó de forma asincrónica mediante WhatsApp debido a las diferencias de horarios y jornadas laborales de los integrantes.</w:t>
      </w:r>
    </w:p>
    <w:p w14:paraId="53C317CA">
      <w:pPr>
        <w:pStyle w:val="2"/>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Compromisos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159"/>
        <w:gridCol w:w="2237"/>
      </w:tblGrid>
      <w:tr w14:paraId="1941F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9643B5">
            <w:pPr>
              <w:keepNext w:val="0"/>
              <w:keepLines w:val="0"/>
              <w:widowControl/>
              <w:suppressLineNumbers w:val="0"/>
              <w:spacing w:line="360" w:lineRule="auto"/>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Compromiso</w:t>
            </w:r>
          </w:p>
        </w:tc>
        <w:tc>
          <w:tcPr>
            <w:tcW w:w="0" w:type="auto"/>
            <w:shd w:val="clear"/>
            <w:vAlign w:val="center"/>
          </w:tcPr>
          <w:p w14:paraId="52D49A6A">
            <w:pPr>
              <w:keepNext w:val="0"/>
              <w:keepLines w:val="0"/>
              <w:widowControl/>
              <w:suppressLineNumbers w:val="0"/>
              <w:spacing w:line="360" w:lineRule="auto"/>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Responsable</w:t>
            </w:r>
          </w:p>
        </w:tc>
      </w:tr>
      <w:tr w14:paraId="22BE3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7371CA">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kern w:val="0"/>
                <w:sz w:val="24"/>
                <w:szCs w:val="24"/>
                <w:lang w:val="en-US" w:eastAsia="zh-CN" w:bidi="ar"/>
              </w:rPr>
              <w:t>Modificar y mejorar el proceso BPMN TO-BE de acuerdo con los nuevos requisitos de la evaluación</w:t>
            </w:r>
          </w:p>
        </w:tc>
        <w:tc>
          <w:tcPr>
            <w:tcW w:w="0" w:type="auto"/>
            <w:shd w:val="clear"/>
            <w:vAlign w:val="center"/>
          </w:tcPr>
          <w:p w14:paraId="3336AC48">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kern w:val="0"/>
                <w:sz w:val="24"/>
                <w:szCs w:val="24"/>
                <w:lang w:val="en-US" w:eastAsia="zh-CN" w:bidi="ar"/>
              </w:rPr>
              <w:t>Yordan Valderrama Agurto</w:t>
            </w:r>
          </w:p>
        </w:tc>
      </w:tr>
      <w:tr w14:paraId="0B90F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B29384">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kern w:val="0"/>
                <w:sz w:val="24"/>
                <w:szCs w:val="24"/>
                <w:lang w:val="en-US" w:eastAsia="zh-CN" w:bidi="ar"/>
              </w:rPr>
              <w:t>Revisar la estructura BPMN y las observaciones realizadas por el profesor</w:t>
            </w:r>
          </w:p>
        </w:tc>
        <w:tc>
          <w:tcPr>
            <w:tcW w:w="0" w:type="auto"/>
            <w:shd w:val="clear"/>
            <w:vAlign w:val="center"/>
          </w:tcPr>
          <w:p w14:paraId="268C2D79">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kern w:val="0"/>
                <w:sz w:val="24"/>
                <w:szCs w:val="24"/>
                <w:lang w:val="en-US" w:eastAsia="zh-CN" w:bidi="ar"/>
              </w:rPr>
              <w:t>Nicolás González Jaramillo</w:t>
            </w:r>
          </w:p>
        </w:tc>
      </w:tr>
      <w:tr w14:paraId="78CE4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1148E9">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kern w:val="0"/>
                <w:sz w:val="24"/>
                <w:szCs w:val="24"/>
                <w:lang w:val="en-US" w:eastAsia="zh-CN" w:bidi="ar"/>
              </w:rPr>
              <w:t>Revisar el uso de lanes para separar al cliente, los servicios y el voluntario</w:t>
            </w:r>
          </w:p>
        </w:tc>
        <w:tc>
          <w:tcPr>
            <w:tcW w:w="0" w:type="auto"/>
            <w:shd w:val="clear"/>
            <w:vAlign w:val="center"/>
          </w:tcPr>
          <w:p w14:paraId="74A43BC5">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kern w:val="0"/>
                <w:sz w:val="24"/>
                <w:szCs w:val="24"/>
                <w:lang w:val="en-US" w:eastAsia="zh-CN" w:bidi="ar"/>
              </w:rPr>
              <w:t>Todos los integrantes</w:t>
            </w:r>
          </w:p>
        </w:tc>
      </w:tr>
      <w:tr w14:paraId="5DE1E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B8D881">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kern w:val="0"/>
                <w:sz w:val="24"/>
                <w:szCs w:val="24"/>
                <w:lang w:val="en-US" w:eastAsia="zh-CN" w:bidi="ar"/>
              </w:rPr>
              <w:t>Preparar el acta de reunión y mantener organizadas las evidencias del proyecto</w:t>
            </w:r>
          </w:p>
        </w:tc>
        <w:tc>
          <w:tcPr>
            <w:tcW w:w="0" w:type="auto"/>
            <w:shd w:val="clear"/>
            <w:vAlign w:val="center"/>
          </w:tcPr>
          <w:p w14:paraId="10305C54">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kern w:val="0"/>
                <w:sz w:val="24"/>
                <w:szCs w:val="24"/>
                <w:lang w:val="en-US" w:eastAsia="zh-CN" w:bidi="ar"/>
              </w:rPr>
              <w:t>Antonio Espinoza Soto</w:t>
            </w:r>
          </w:p>
        </w:tc>
      </w:tr>
      <w:tr w14:paraId="2298F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F2665F">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kern w:val="0"/>
                <w:sz w:val="24"/>
                <w:szCs w:val="24"/>
                <w:lang w:val="en-US" w:eastAsia="zh-CN" w:bidi="ar"/>
              </w:rPr>
              <w:t>Subir la nueva versión del BPMN al repositorio de GitHub</w:t>
            </w:r>
          </w:p>
        </w:tc>
        <w:tc>
          <w:tcPr>
            <w:tcW w:w="0" w:type="auto"/>
            <w:shd w:val="clear"/>
            <w:vAlign w:val="center"/>
          </w:tcPr>
          <w:p w14:paraId="46537E3A">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kern w:val="0"/>
                <w:sz w:val="24"/>
                <w:szCs w:val="24"/>
                <w:lang w:val="en-US" w:eastAsia="zh-CN" w:bidi="ar"/>
              </w:rPr>
              <w:t>Yordan Valderrama Agurto</w:t>
            </w:r>
          </w:p>
        </w:tc>
      </w:tr>
      <w:tr w14:paraId="4CF82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7BD48E">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kern w:val="0"/>
                <w:sz w:val="24"/>
                <w:szCs w:val="24"/>
                <w:lang w:val="en-US" w:eastAsia="zh-CN" w:bidi="ar"/>
              </w:rPr>
              <w:t>Revisar colaborativamente los cambios antes de continuar con la implementación</w:t>
            </w:r>
          </w:p>
        </w:tc>
        <w:tc>
          <w:tcPr>
            <w:tcW w:w="0" w:type="auto"/>
            <w:shd w:val="clear"/>
            <w:vAlign w:val="center"/>
          </w:tcPr>
          <w:p w14:paraId="0A3307DF">
            <w:pPr>
              <w:keepNext w:val="0"/>
              <w:keepLines w:val="0"/>
              <w:widowControl/>
              <w:suppressLineNumbers w:val="0"/>
              <w:spacing w:line="360" w:lineRule="auto"/>
              <w:jc w:val="left"/>
              <w:rPr>
                <w:rFonts w:hint="default" w:ascii="Arial" w:hAnsi="Arial" w:cs="Arial"/>
                <w:sz w:val="24"/>
                <w:szCs w:val="24"/>
              </w:rPr>
            </w:pPr>
            <w:r>
              <w:rPr>
                <w:rFonts w:hint="default" w:ascii="Arial" w:hAnsi="Arial" w:eastAsia="SimSun" w:cs="Arial"/>
                <w:kern w:val="0"/>
                <w:sz w:val="24"/>
                <w:szCs w:val="24"/>
                <w:lang w:val="en-US" w:eastAsia="zh-CN" w:bidi="ar"/>
              </w:rPr>
              <w:t>Todos los integrantes</w:t>
            </w:r>
          </w:p>
        </w:tc>
      </w:tr>
    </w:tbl>
    <w:p w14:paraId="3DC79232">
      <w:pPr>
        <w:pStyle w:val="2"/>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Avances</w:t>
      </w:r>
    </w:p>
    <w:p w14:paraId="1EE93A5A">
      <w:pPr>
        <w:pStyle w:val="6"/>
        <w:keepNext w:val="0"/>
        <w:keepLines w:val="0"/>
        <w:widowControl/>
        <w:suppressLineNumbers w:val="0"/>
        <w:spacing w:before="0" w:beforeAutospacing="1" w:after="0" w:afterAutospacing="1" w:line="360" w:lineRule="auto"/>
        <w:ind w:left="0" w:right="0"/>
        <w:rPr>
          <w:rFonts w:hint="default" w:ascii="Arial" w:hAnsi="Arial" w:cs="Arial"/>
          <w:sz w:val="24"/>
          <w:szCs w:val="24"/>
        </w:rPr>
      </w:pPr>
      <w:r>
        <w:rPr>
          <w:rFonts w:hint="default" w:ascii="Arial" w:hAnsi="Arial" w:cs="Arial"/>
          <w:sz w:val="24"/>
          <w:szCs w:val="24"/>
        </w:rPr>
        <w:t>Yordan presentó una modificación del proceso BPMN TO-BE que incorpora un evento límite de 24 horas asociado a la tarea en la que el cliente carga el comprobante de transferencia.</w:t>
      </w:r>
    </w:p>
    <w:p w14:paraId="16CEFB08">
      <w:pPr>
        <w:pStyle w:val="6"/>
        <w:keepNext w:val="0"/>
        <w:keepLines w:val="0"/>
        <w:widowControl/>
        <w:suppressLineNumbers w:val="0"/>
        <w:spacing w:before="0" w:beforeAutospacing="1" w:after="0" w:afterAutospacing="1" w:line="360" w:lineRule="auto"/>
        <w:ind w:left="0" w:right="0"/>
        <w:rPr>
          <w:rFonts w:hint="default" w:ascii="Arial" w:hAnsi="Arial" w:cs="Arial"/>
          <w:sz w:val="24"/>
          <w:szCs w:val="24"/>
        </w:rPr>
      </w:pPr>
      <w:r>
        <w:rPr>
          <w:rFonts w:hint="default" w:ascii="Arial" w:hAnsi="Arial" w:cs="Arial"/>
          <w:sz w:val="24"/>
          <w:szCs w:val="24"/>
        </w:rPr>
        <w:t>Se propuso que, si el cliente no adjunta el comprobante dentro del plazo establecido, el pedido sea cancelado automáticamente y se ejecute una tarea de servicio para liberar el stock reservado.</w:t>
      </w:r>
    </w:p>
    <w:p w14:paraId="5884C62D">
      <w:pPr>
        <w:pStyle w:val="6"/>
        <w:keepNext w:val="0"/>
        <w:keepLines w:val="0"/>
        <w:widowControl/>
        <w:suppressLineNumbers w:val="0"/>
        <w:spacing w:before="0" w:beforeAutospacing="1" w:after="0" w:afterAutospacing="1" w:line="360" w:lineRule="auto"/>
        <w:ind w:left="0" w:right="0"/>
        <w:rPr>
          <w:rFonts w:hint="default" w:ascii="Arial" w:hAnsi="Arial" w:cs="Arial"/>
          <w:sz w:val="24"/>
          <w:szCs w:val="24"/>
        </w:rPr>
      </w:pPr>
      <w:r>
        <w:rPr>
          <w:rFonts w:hint="default" w:ascii="Arial" w:hAnsi="Arial" w:cs="Arial"/>
          <w:sz w:val="24"/>
          <w:szCs w:val="24"/>
        </w:rPr>
        <w:t>Se incorporó una alternativa para que el cliente pueda reenviar el comprobante cuando haya cargado un archivo incorrecto o exista algún problema durante la revisión. Esta alternativa permite regresar a la tarea de carga mediante un ciclo, evitando que el cliente tenga que comenzar nuevamente el pedido.</w:t>
      </w:r>
    </w:p>
    <w:p w14:paraId="72B6CE6A">
      <w:pPr>
        <w:pStyle w:val="6"/>
        <w:keepNext w:val="0"/>
        <w:keepLines w:val="0"/>
        <w:widowControl/>
        <w:suppressLineNumbers w:val="0"/>
        <w:spacing w:before="0" w:beforeAutospacing="1" w:after="0" w:afterAutospacing="1" w:line="360" w:lineRule="auto"/>
        <w:ind w:left="0" w:right="0"/>
        <w:rPr>
          <w:rFonts w:hint="default" w:ascii="Arial" w:hAnsi="Arial" w:cs="Arial"/>
          <w:sz w:val="24"/>
          <w:szCs w:val="24"/>
        </w:rPr>
      </w:pPr>
      <w:r>
        <w:rPr>
          <w:rFonts w:hint="default" w:ascii="Arial" w:hAnsi="Arial" w:cs="Arial"/>
          <w:sz w:val="24"/>
          <w:szCs w:val="24"/>
        </w:rPr>
        <w:t>El equipo revisó la observación realizada por el profesor respecto a la separación del cliente en un pool independiente. Se confirmó que Flowable Designer está orientado a la ejecución de un único proceso y no permite incorporar varios pools independientes dentro del mismo modelo ejecutable.</w:t>
      </w:r>
    </w:p>
    <w:p w14:paraId="627FC0E4">
      <w:pPr>
        <w:pStyle w:val="2"/>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Bloqueos</w:t>
      </w:r>
    </w:p>
    <w:p w14:paraId="538CC19A">
      <w:pPr>
        <w:pStyle w:val="6"/>
        <w:keepNext w:val="0"/>
        <w:keepLines w:val="0"/>
        <w:widowControl/>
        <w:suppressLineNumbers w:val="0"/>
        <w:spacing w:before="0" w:beforeAutospacing="1" w:after="0" w:afterAutospacing="1" w:line="360" w:lineRule="auto"/>
        <w:ind w:left="0" w:right="0"/>
        <w:rPr>
          <w:rFonts w:hint="default" w:ascii="Arial" w:hAnsi="Arial" w:cs="Arial"/>
          <w:sz w:val="24"/>
          <w:szCs w:val="24"/>
        </w:rPr>
      </w:pPr>
      <w:r>
        <w:rPr>
          <w:rFonts w:hint="default" w:ascii="Arial" w:hAnsi="Arial" w:cs="Arial"/>
          <w:sz w:val="24"/>
          <w:szCs w:val="24"/>
        </w:rPr>
        <w:t>Los integrantes poseen diferentes horarios laborales, lo que dificulta realizar reuniones simultáneas. Para resolver esta situación, se mantuvo WhatsApp como medio principal de coordinación asincrónica.</w:t>
      </w:r>
    </w:p>
    <w:p w14:paraId="42BDD3DC">
      <w:pPr>
        <w:pStyle w:val="6"/>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Inicialmente existió una duda sobre la posibilidad de separar al cliente en un pool independiente dentro de Flowable. Esta situación fue aclarada mediante una respuesta del profesor, quien indicó que Flowable Designer trabaja con un único pool orientado a la ejecución del proceso.</w:t>
      </w:r>
    </w:p>
    <w:p w14:paraId="31E3036F">
      <w:pPr>
        <w:pStyle w:val="6"/>
        <w:keepNext w:val="0"/>
        <w:keepLines w:val="0"/>
        <w:widowControl/>
        <w:suppressLineNumbers w:val="0"/>
        <w:spacing w:line="360" w:lineRule="auto"/>
        <w:rPr>
          <w:rFonts w:hint="default" w:ascii="Arial" w:hAnsi="Arial" w:eastAsia="SimSun" w:cs="Arial"/>
          <w:sz w:val="24"/>
          <w:szCs w:val="24"/>
        </w:rPr>
      </w:pPr>
      <w:r>
        <w:rPr>
          <w:rFonts w:hint="default" w:ascii="Arial" w:hAnsi="Arial" w:eastAsia="SimSun" w:cs="Arial"/>
          <w:sz w:val="24"/>
          <w:szCs w:val="24"/>
        </w:rPr>
        <w:t xml:space="preserve">Se identificó que agregar tareas de servicio en el diagrama no completa por sí solo el requisito de Web Services. Todavía será necesario desarrollar los servicios en Java, configurar los External Workers y comprobar la integración </w:t>
      </w:r>
      <w:r>
        <w:rPr>
          <w:rFonts w:hint="default" w:ascii="Arial" w:hAnsi="Arial" w:eastAsia="SimSun" w:cs="Arial"/>
          <w:sz w:val="24"/>
          <w:szCs w:val="24"/>
        </w:rPr>
        <w:t>real con Flowable.</w:t>
      </w:r>
    </w:p>
    <w:p w14:paraId="1300B2A7">
      <w:pPr>
        <w:pStyle w:val="2"/>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Logros</w:t>
      </w:r>
    </w:p>
    <w:p w14:paraId="777DC8C9">
      <w:pPr>
        <w:pStyle w:val="6"/>
        <w:keepNext w:val="0"/>
        <w:keepLines w:val="0"/>
        <w:widowControl/>
        <w:suppressLineNumbers w:val="0"/>
        <w:spacing w:before="0" w:beforeAutospacing="1" w:after="0" w:afterAutospacing="1" w:line="360" w:lineRule="auto"/>
        <w:ind w:left="0" w:right="0"/>
        <w:rPr>
          <w:rFonts w:hint="default" w:ascii="Arial" w:hAnsi="Arial" w:cs="Arial"/>
          <w:sz w:val="24"/>
          <w:szCs w:val="24"/>
        </w:rPr>
      </w:pPr>
      <w:r>
        <w:rPr>
          <w:rFonts w:hint="default" w:ascii="Arial" w:hAnsi="Arial" w:cs="Arial"/>
          <w:sz w:val="24"/>
          <w:szCs w:val="24"/>
        </w:rPr>
        <w:t>Se revisó y aprobó colaborativamente la propuesta de modificación del proceso BPMN TO-BE.</w:t>
      </w:r>
    </w:p>
    <w:p w14:paraId="7F6C5B40">
      <w:pPr>
        <w:pStyle w:val="6"/>
        <w:keepNext w:val="0"/>
        <w:keepLines w:val="0"/>
        <w:widowControl/>
        <w:suppressLineNumbers w:val="0"/>
        <w:spacing w:before="0" w:beforeAutospacing="1" w:after="0" w:afterAutospacing="1" w:line="360" w:lineRule="auto"/>
        <w:ind w:left="0" w:right="0"/>
        <w:rPr>
          <w:rFonts w:hint="default" w:ascii="Arial" w:hAnsi="Arial" w:cs="Arial"/>
          <w:sz w:val="24"/>
          <w:szCs w:val="24"/>
        </w:rPr>
      </w:pPr>
      <w:r>
        <w:rPr>
          <w:rFonts w:hint="default" w:ascii="Arial" w:hAnsi="Arial" w:cs="Arial"/>
          <w:sz w:val="24"/>
          <w:szCs w:val="24"/>
        </w:rPr>
        <w:t>Se incorporó la lógica de vencimiento de 24 horas para la carga del comprobante.</w:t>
      </w:r>
    </w:p>
    <w:p w14:paraId="1870A7B4">
      <w:pPr>
        <w:pStyle w:val="6"/>
        <w:keepNext w:val="0"/>
        <w:keepLines w:val="0"/>
        <w:widowControl/>
        <w:suppressLineNumbers w:val="0"/>
        <w:spacing w:before="0" w:beforeAutospacing="1" w:after="0" w:afterAutospacing="1" w:line="360" w:lineRule="auto"/>
        <w:ind w:left="0" w:right="0"/>
        <w:rPr>
          <w:rFonts w:hint="default" w:ascii="Arial" w:hAnsi="Arial" w:cs="Arial"/>
          <w:sz w:val="24"/>
          <w:szCs w:val="24"/>
        </w:rPr>
      </w:pPr>
      <w:bookmarkStart w:id="0" w:name="_GoBack"/>
      <w:bookmarkEnd w:id="0"/>
      <w:r>
        <w:rPr>
          <w:rFonts w:hint="default" w:ascii="Arial" w:hAnsi="Arial" w:cs="Arial"/>
          <w:sz w:val="24"/>
          <w:szCs w:val="24"/>
        </w:rPr>
        <w:t>Se aclaró la limitación de Flowable relacionada con el uso de múltiples pools dentro de un proceso ejecutable.</w:t>
      </w:r>
    </w:p>
    <w:p w14:paraId="2D64746C">
      <w:pPr>
        <w:pStyle w:val="6"/>
        <w:keepNext w:val="0"/>
        <w:keepLines w:val="0"/>
        <w:widowControl/>
        <w:suppressLineNumbers w:val="0"/>
        <w:spacing w:before="0" w:beforeAutospacing="1" w:after="0" w:afterAutospacing="1" w:line="360" w:lineRule="auto"/>
        <w:ind w:left="0" w:right="0"/>
        <w:rPr>
          <w:rFonts w:hint="default" w:ascii="Arial" w:hAnsi="Arial" w:cs="Arial"/>
          <w:sz w:val="24"/>
          <w:szCs w:val="24"/>
        </w:rPr>
      </w:pPr>
      <w:r>
        <w:rPr>
          <w:rFonts w:hint="default" w:ascii="Arial" w:hAnsi="Arial" w:cs="Arial"/>
          <w:sz w:val="24"/>
          <w:szCs w:val="24"/>
        </w:rPr>
        <w:t>Se acordó mantener un único pool dividido en lanes para Cliente, Web Services y Voluntario.</w:t>
      </w:r>
    </w:p>
    <w:p w14:paraId="2E914117">
      <w:pPr>
        <w:pStyle w:val="6"/>
        <w:keepNext w:val="0"/>
        <w:keepLines w:val="0"/>
        <w:widowControl/>
        <w:suppressLineNumbers w:val="0"/>
        <w:spacing w:before="0" w:beforeAutospacing="1" w:after="0" w:afterAutospacing="1" w:line="360" w:lineRule="auto"/>
        <w:ind w:left="0" w:right="0"/>
        <w:rPr>
          <w:rFonts w:hint="default" w:ascii="Arial" w:hAnsi="Arial" w:cs="Arial"/>
          <w:sz w:val="24"/>
          <w:szCs w:val="24"/>
        </w:rPr>
      </w:pPr>
      <w:r>
        <w:rPr>
          <w:rFonts w:hint="default" w:ascii="Arial" w:hAnsi="Arial" w:cs="Arial"/>
          <w:sz w:val="24"/>
          <w:szCs w:val="24"/>
        </w:rPr>
        <w:t>Se acordó trabajar sobre la propuesta presentada por Yordan y subir la nueva versión del BPMN al repositorio.</w:t>
      </w:r>
    </w:p>
    <w:p w14:paraId="41C30301">
      <w:pPr>
        <w:pStyle w:val="2"/>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Distribución de roles</w:t>
      </w:r>
    </w:p>
    <w:p w14:paraId="44BF0993">
      <w:pPr>
        <w:pStyle w:val="6"/>
        <w:keepNext w:val="0"/>
        <w:keepLines w:val="0"/>
        <w:widowControl/>
        <w:suppressLineNumbers w:val="0"/>
        <w:spacing w:before="0" w:beforeAutospacing="1" w:after="0" w:afterAutospacing="1" w:line="360" w:lineRule="auto"/>
        <w:ind w:left="0" w:right="0"/>
        <w:rPr>
          <w:rFonts w:hint="default" w:ascii="Arial" w:hAnsi="Arial" w:cs="Arial"/>
          <w:sz w:val="24"/>
          <w:szCs w:val="24"/>
        </w:rPr>
      </w:pPr>
      <w:r>
        <w:rPr>
          <w:rStyle w:val="5"/>
          <w:rFonts w:hint="default" w:ascii="Arial" w:hAnsi="Arial" w:cs="Arial"/>
          <w:sz w:val="24"/>
          <w:szCs w:val="24"/>
        </w:rPr>
        <w:t>Nicolás González Jaramillo:</w:t>
      </w:r>
      <w:r>
        <w:rPr>
          <w:rFonts w:hint="default" w:ascii="Arial" w:hAnsi="Arial" w:cs="Arial"/>
          <w:sz w:val="24"/>
          <w:szCs w:val="24"/>
        </w:rPr>
        <w:br w:type="textWrapping"/>
      </w:r>
      <w:r>
        <w:rPr>
          <w:rStyle w:val="5"/>
          <w:rFonts w:hint="default" w:ascii="Arial" w:hAnsi="Arial" w:cs="Arial"/>
          <w:sz w:val="24"/>
          <w:szCs w:val="24"/>
        </w:rPr>
        <w:t>Rol 1: Modelado BPMN.</w:t>
      </w:r>
      <w:r>
        <w:rPr>
          <w:rFonts w:hint="default" w:ascii="Arial" w:hAnsi="Arial" w:cs="Arial"/>
          <w:sz w:val="24"/>
          <w:szCs w:val="24"/>
        </w:rPr>
        <w:t xml:space="preserve"> Revisión de la estructura del proceso, corrección de elementos BPMN y apoyo en la incorporación de tareas humanas y automatizadas.</w:t>
      </w:r>
    </w:p>
    <w:p w14:paraId="44B9DBE3">
      <w:pPr>
        <w:pStyle w:val="6"/>
        <w:keepNext w:val="0"/>
        <w:keepLines w:val="0"/>
        <w:widowControl/>
        <w:suppressLineNumbers w:val="0"/>
        <w:spacing w:before="0" w:beforeAutospacing="1" w:after="0" w:afterAutospacing="1" w:line="360" w:lineRule="auto"/>
        <w:ind w:left="0" w:right="0"/>
        <w:rPr>
          <w:rFonts w:hint="default" w:ascii="Arial" w:hAnsi="Arial" w:cs="Arial"/>
          <w:sz w:val="24"/>
          <w:szCs w:val="24"/>
        </w:rPr>
      </w:pPr>
      <w:r>
        <w:rPr>
          <w:rStyle w:val="5"/>
          <w:rFonts w:hint="default" w:ascii="Arial" w:hAnsi="Arial" w:cs="Arial"/>
          <w:sz w:val="24"/>
          <w:szCs w:val="24"/>
        </w:rPr>
        <w:t>Yordan Valderrama Agurto:</w:t>
      </w:r>
      <w:r>
        <w:rPr>
          <w:rFonts w:hint="default" w:ascii="Arial" w:hAnsi="Arial" w:cs="Arial"/>
          <w:sz w:val="24"/>
          <w:szCs w:val="24"/>
        </w:rPr>
        <w:br w:type="textWrapping"/>
      </w:r>
      <w:r>
        <w:rPr>
          <w:rStyle w:val="5"/>
          <w:rFonts w:hint="default" w:ascii="Arial" w:hAnsi="Arial" w:cs="Arial"/>
          <w:sz w:val="24"/>
          <w:szCs w:val="24"/>
        </w:rPr>
        <w:t>Rol 2: Implementación e integración.</w:t>
      </w:r>
      <w:r>
        <w:rPr>
          <w:rFonts w:hint="default" w:ascii="Arial" w:hAnsi="Arial" w:cs="Arial"/>
          <w:sz w:val="24"/>
          <w:szCs w:val="24"/>
        </w:rPr>
        <w:t xml:space="preserve"> Modificación del proceso en Flowable, configuración de Service Tasks y External Workers, desarrollo o integración de los Web Services Java y actualización del proceso ejecutable.</w:t>
      </w:r>
    </w:p>
    <w:p w14:paraId="4864DA47">
      <w:pPr>
        <w:pStyle w:val="6"/>
        <w:keepNext w:val="0"/>
        <w:keepLines w:val="0"/>
        <w:widowControl/>
        <w:suppressLineNumbers w:val="0"/>
        <w:spacing w:before="0" w:beforeAutospacing="1" w:after="0" w:afterAutospacing="1" w:line="360" w:lineRule="auto"/>
        <w:ind w:left="0" w:right="0"/>
        <w:rPr>
          <w:rFonts w:hint="default" w:ascii="Arial" w:hAnsi="Arial" w:cs="Arial"/>
          <w:sz w:val="24"/>
          <w:szCs w:val="24"/>
        </w:rPr>
      </w:pPr>
      <w:r>
        <w:rPr>
          <w:rStyle w:val="5"/>
          <w:rFonts w:hint="default" w:ascii="Arial" w:hAnsi="Arial" w:cs="Arial"/>
          <w:sz w:val="24"/>
          <w:szCs w:val="24"/>
        </w:rPr>
        <w:t>Antonio Espinoza Soto:</w:t>
      </w:r>
      <w:r>
        <w:rPr>
          <w:rFonts w:hint="default" w:ascii="Arial" w:hAnsi="Arial" w:cs="Arial"/>
          <w:sz w:val="24"/>
          <w:szCs w:val="24"/>
        </w:rPr>
        <w:br w:type="textWrapping"/>
      </w:r>
      <w:r>
        <w:rPr>
          <w:rStyle w:val="5"/>
          <w:rFonts w:hint="default" w:ascii="Arial" w:hAnsi="Arial" w:cs="Arial"/>
          <w:sz w:val="24"/>
          <w:szCs w:val="24"/>
        </w:rPr>
        <w:t>Rol 3: Gestión, QA y evidencias.</w:t>
      </w:r>
      <w:r>
        <w:rPr>
          <w:rFonts w:hint="default" w:ascii="Arial" w:hAnsi="Arial" w:cs="Arial"/>
          <w:sz w:val="24"/>
          <w:szCs w:val="24"/>
        </w:rPr>
        <w:t xml:space="preserve"> Elaboración de actas, revisión de la pauta, organización del repositorio, seguimiento de avances y bloqueos, apoyo en las pruebas de los servicios y coordinación de los videos.</w:t>
      </w:r>
    </w:p>
    <w:p w14:paraId="7A3FD43B">
      <w:pPr>
        <w:spacing w:line="360" w:lineRule="auto"/>
        <w:rPr>
          <w:rFonts w:hint="default" w:ascii="Arial" w:hAnsi="Arial" w:eastAsia="SimSun" w:cs="Arial"/>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8B762F"/>
    <w:rsid w:val="038E4D60"/>
    <w:rsid w:val="6C8B76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Strong"/>
    <w:basedOn w:val="3"/>
    <w:qFormat/>
    <w:uiPriority w:val="0"/>
    <w:rPr>
      <w:b/>
      <w:b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25</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2026-08-27T02:06:00Z</dcterms:created>
  <dc:creator>antonio espinoza</dc:creator>
  <cp:lastModifiedBy>antonio espinoza</cp:lastModifiedBy>
  <dcterms:modified xsi:type="dcterms:W3CDTF">2026-08-27T02:46:02Z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3082-12.1.0.28032</vt:lpwstr>
  </property>
  <property fmtid="{D5CDD505-2E9C-101B-9397-08002B2CF9AE}" pid="3" name="ICV">
    <vt:lpwstr>738C743895824C67B0B4C8700EB83288_11</vt:lpwstr>
  </property>
  <property fmtid="{D5CDD505-2E9C-101B-9397-08002B2CF9AE}" pid="4" name="KSOTemplateDocerSaveRecord">
    <vt:lpwstr>eyJoZGlkIjoiOTc2ZTQ1OGEzNmEwNWUxNzc0NjI3MzhmZTMxMTA1MDIiLCJ1c2VySWQiOiIxNzYwOTg5NDMwNzkxOCJ9</vt:lpwstr>
  </property>
</Properties>
</file>