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8FDB" w14:textId="77777777" w:rsidR="00114DD5" w:rsidRDefault="00003435" w:rsidP="00003435">
      <w:pPr>
        <w:pStyle w:val="Titre1"/>
      </w:pPr>
      <w:r>
        <w:t>Scénario principal et scénarii alternatifs pour le cas d’usage qui concerne l’emprunt d’une ressource :</w:t>
      </w:r>
    </w:p>
    <w:p w14:paraId="53C9B660" w14:textId="580DC43E" w:rsidR="00003435" w:rsidRDefault="00003435" w:rsidP="00003435"/>
    <w:tbl>
      <w:tblPr>
        <w:tblStyle w:val="Tableauweb2"/>
        <w:tblW w:w="9493" w:type="dxa"/>
        <w:tblLook w:val="04A0" w:firstRow="1" w:lastRow="0" w:firstColumn="1" w:lastColumn="0" w:noHBand="0" w:noVBand="1"/>
      </w:tblPr>
      <w:tblGrid>
        <w:gridCol w:w="2036"/>
        <w:gridCol w:w="7457"/>
      </w:tblGrid>
      <w:tr w:rsidR="00734851" w14:paraId="235AE6D3" w14:textId="77777777" w:rsidTr="0073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6170461E" w14:textId="448A0B06" w:rsidR="00734851" w:rsidRDefault="00734851" w:rsidP="00003435">
            <w:r>
              <w:t>Cas d’utilisation</w:t>
            </w:r>
          </w:p>
        </w:tc>
        <w:tc>
          <w:tcPr>
            <w:tcW w:w="7508" w:type="dxa"/>
          </w:tcPr>
          <w:p w14:paraId="2B3ECD68" w14:textId="19645B34" w:rsidR="00734851" w:rsidRDefault="00734851" w:rsidP="00003435">
            <w:r>
              <w:t>Emprunt d’une ressource</w:t>
            </w:r>
          </w:p>
        </w:tc>
      </w:tr>
      <w:tr w:rsidR="00734851" w14:paraId="6C9579E9" w14:textId="77777777" w:rsidTr="00734851">
        <w:tc>
          <w:tcPr>
            <w:tcW w:w="1985" w:type="dxa"/>
          </w:tcPr>
          <w:p w14:paraId="7155F089" w14:textId="3478F361" w:rsidR="00734851" w:rsidRDefault="00734851" w:rsidP="00003435">
            <w:r>
              <w:t>Acteur</w:t>
            </w:r>
          </w:p>
        </w:tc>
        <w:tc>
          <w:tcPr>
            <w:tcW w:w="7508" w:type="dxa"/>
          </w:tcPr>
          <w:p w14:paraId="08F9A757" w14:textId="6632AC1E" w:rsidR="00734851" w:rsidRDefault="00734851" w:rsidP="00003435">
            <w:r>
              <w:t>Personnel ou bénévole</w:t>
            </w:r>
          </w:p>
        </w:tc>
      </w:tr>
      <w:tr w:rsidR="00734851" w14:paraId="04AA3C46" w14:textId="77777777" w:rsidTr="00734851">
        <w:tc>
          <w:tcPr>
            <w:tcW w:w="1985" w:type="dxa"/>
          </w:tcPr>
          <w:p w14:paraId="3D72E086" w14:textId="5A9BD374" w:rsidR="00734851" w:rsidRDefault="00734851" w:rsidP="00003435">
            <w:r>
              <w:t>Event déclencheur</w:t>
            </w:r>
          </w:p>
        </w:tc>
        <w:tc>
          <w:tcPr>
            <w:tcW w:w="7508" w:type="dxa"/>
          </w:tcPr>
          <w:p w14:paraId="7B1C3856" w14:textId="14DF48EC" w:rsidR="00734851" w:rsidRDefault="00A21FBE" w:rsidP="00003435">
            <w:r>
              <w:t>La demande d’emprunt d’un usager</w:t>
            </w:r>
          </w:p>
        </w:tc>
      </w:tr>
      <w:tr w:rsidR="00734851" w14:paraId="43BBBAD7" w14:textId="77777777" w:rsidTr="00734851">
        <w:tc>
          <w:tcPr>
            <w:tcW w:w="1985" w:type="dxa"/>
          </w:tcPr>
          <w:p w14:paraId="11D6F4D1" w14:textId="73FA9976" w:rsidR="00734851" w:rsidRDefault="00734851" w:rsidP="00003435">
            <w:r>
              <w:t xml:space="preserve">Intérêts </w:t>
            </w:r>
          </w:p>
        </w:tc>
        <w:tc>
          <w:tcPr>
            <w:tcW w:w="7508" w:type="dxa"/>
          </w:tcPr>
          <w:p w14:paraId="7E7AAFEB" w14:textId="26004CD5" w:rsidR="00734851" w:rsidRDefault="00A21FBE" w:rsidP="00003435">
            <w:r>
              <w:t>Traiter une demande d’emprunt</w:t>
            </w:r>
          </w:p>
        </w:tc>
      </w:tr>
      <w:tr w:rsidR="00734851" w14:paraId="73F0A7C7" w14:textId="77777777" w:rsidTr="00734851">
        <w:tc>
          <w:tcPr>
            <w:tcW w:w="1985" w:type="dxa"/>
          </w:tcPr>
          <w:p w14:paraId="13FB9650" w14:textId="4A53AFD5" w:rsidR="00734851" w:rsidRDefault="00734851" w:rsidP="00003435">
            <w:r>
              <w:t>Préconditions</w:t>
            </w:r>
          </w:p>
        </w:tc>
        <w:tc>
          <w:tcPr>
            <w:tcW w:w="7508" w:type="dxa"/>
          </w:tcPr>
          <w:p w14:paraId="35C22420" w14:textId="37554B98" w:rsidR="005450DF" w:rsidRDefault="005450DF" w:rsidP="00003435">
            <w:r>
              <w:t>Être identifié sur le programme/poste</w:t>
            </w:r>
          </w:p>
        </w:tc>
      </w:tr>
      <w:tr w:rsidR="00734851" w14:paraId="1186A2E4" w14:textId="77777777" w:rsidTr="00734851">
        <w:tc>
          <w:tcPr>
            <w:tcW w:w="1985" w:type="dxa"/>
          </w:tcPr>
          <w:p w14:paraId="72617A6C" w14:textId="3ABFCCE5" w:rsidR="00734851" w:rsidRDefault="00734851" w:rsidP="00003435">
            <w:r>
              <w:t>Postconditions</w:t>
            </w:r>
          </w:p>
        </w:tc>
        <w:tc>
          <w:tcPr>
            <w:tcW w:w="7508" w:type="dxa"/>
          </w:tcPr>
          <w:p w14:paraId="20A26843" w14:textId="42F39F09" w:rsidR="00734851" w:rsidRDefault="005450DF" w:rsidP="00003435">
            <w:r>
              <w:t>Emprunt</w:t>
            </w:r>
            <w:r w:rsidR="00A21FBE">
              <w:t xml:space="preserve"> enregistrée</w:t>
            </w:r>
          </w:p>
        </w:tc>
      </w:tr>
      <w:tr w:rsidR="00734851" w14:paraId="5D45AF6E" w14:textId="77777777" w:rsidTr="00734851">
        <w:tc>
          <w:tcPr>
            <w:tcW w:w="1985" w:type="dxa"/>
          </w:tcPr>
          <w:p w14:paraId="7523C26B" w14:textId="7D49A348" w:rsidR="00734851" w:rsidRDefault="00734851" w:rsidP="00003435">
            <w:r>
              <w:t>Scénario nominal</w:t>
            </w:r>
          </w:p>
        </w:tc>
        <w:tc>
          <w:tcPr>
            <w:tcW w:w="7508" w:type="dxa"/>
          </w:tcPr>
          <w:p w14:paraId="6599DD8E" w14:textId="77777777" w:rsidR="007573CD" w:rsidRDefault="00A21FBE" w:rsidP="00734851">
            <w:pPr>
              <w:pStyle w:val="Paragraphedeliste"/>
              <w:numPr>
                <w:ilvl w:val="0"/>
                <w:numId w:val="4"/>
              </w:numPr>
            </w:pPr>
            <w:r>
              <w:t>L’utilisateur scan la carte du lecteur</w:t>
            </w:r>
          </w:p>
          <w:p w14:paraId="0238A153" w14:textId="77777777" w:rsidR="00A21FBE" w:rsidRDefault="00A21FBE" w:rsidP="00734851">
            <w:pPr>
              <w:pStyle w:val="Paragraphedeliste"/>
              <w:numPr>
                <w:ilvl w:val="0"/>
                <w:numId w:val="4"/>
              </w:numPr>
            </w:pPr>
            <w:r>
              <w:t>L’utilisateur vérifie les informations</w:t>
            </w:r>
          </w:p>
          <w:p w14:paraId="1F7FB9A9" w14:textId="77777777" w:rsidR="00A21FBE" w:rsidRDefault="00A21FBE" w:rsidP="00734851">
            <w:pPr>
              <w:pStyle w:val="Paragraphedeliste"/>
              <w:numPr>
                <w:ilvl w:val="0"/>
                <w:numId w:val="4"/>
              </w:numPr>
            </w:pPr>
            <w:r>
              <w:t>L’utilisateur scan le code barre de la (ou les) ressource(s)</w:t>
            </w:r>
          </w:p>
          <w:p w14:paraId="710E1A5E" w14:textId="77777777" w:rsidR="005450DF" w:rsidRDefault="005450DF" w:rsidP="00734851">
            <w:pPr>
              <w:pStyle w:val="Paragraphedeliste"/>
              <w:numPr>
                <w:ilvl w:val="0"/>
                <w:numId w:val="4"/>
              </w:numPr>
            </w:pPr>
            <w:r>
              <w:t>L’utilisateur enregistre la de</w:t>
            </w:r>
            <w:r w:rsidR="000719CB">
              <w:t>mande</w:t>
            </w:r>
          </w:p>
          <w:p w14:paraId="77E6688C" w14:textId="2DE9944D" w:rsidR="000719CB" w:rsidRDefault="00E36C85" w:rsidP="00FF6687">
            <w:pPr>
              <w:ind w:left="360"/>
            </w:pPr>
            <w:r>
              <w:t>Fin du</w:t>
            </w:r>
            <w:r w:rsidR="000719CB">
              <w:t xml:space="preserve"> traitement de la demande d’emprunt</w:t>
            </w:r>
          </w:p>
        </w:tc>
      </w:tr>
      <w:tr w:rsidR="00734851" w14:paraId="3D4ADFAE" w14:textId="77777777" w:rsidTr="00734851">
        <w:tc>
          <w:tcPr>
            <w:tcW w:w="1985" w:type="dxa"/>
          </w:tcPr>
          <w:p w14:paraId="5567F071" w14:textId="3495F624" w:rsidR="00734851" w:rsidRDefault="00734851" w:rsidP="00003435">
            <w:r>
              <w:t>Extension</w:t>
            </w:r>
          </w:p>
        </w:tc>
        <w:tc>
          <w:tcPr>
            <w:tcW w:w="7508" w:type="dxa"/>
          </w:tcPr>
          <w:p w14:paraId="0F8004F5" w14:textId="77777777" w:rsidR="00734851" w:rsidRDefault="00734851" w:rsidP="00003435"/>
        </w:tc>
      </w:tr>
      <w:tr w:rsidR="00734851" w14:paraId="5E99AF52" w14:textId="77777777" w:rsidTr="00734851">
        <w:tc>
          <w:tcPr>
            <w:tcW w:w="1985" w:type="dxa"/>
          </w:tcPr>
          <w:p w14:paraId="7C73E448" w14:textId="666A5C11" w:rsidR="00734851" w:rsidRDefault="00734851" w:rsidP="00003435">
            <w:r>
              <w:t>Contraintes</w:t>
            </w:r>
          </w:p>
        </w:tc>
        <w:tc>
          <w:tcPr>
            <w:tcW w:w="7508" w:type="dxa"/>
          </w:tcPr>
          <w:p w14:paraId="64E5DCBB" w14:textId="241CBCAE" w:rsidR="00E36C85" w:rsidRDefault="00E36C85" w:rsidP="00003435">
            <w:r>
              <w:t>1.a. l’usager n’a pas de carte de lecteur</w:t>
            </w:r>
          </w:p>
          <w:p w14:paraId="4E5B7FCC" w14:textId="0F0CCD35" w:rsidR="00742ECD" w:rsidRDefault="00742ECD" w:rsidP="00742ECD">
            <w:pPr>
              <w:pStyle w:val="Paragraphedeliste"/>
              <w:numPr>
                <w:ilvl w:val="0"/>
                <w:numId w:val="5"/>
              </w:numPr>
            </w:pPr>
            <w:r>
              <w:t>Si l’utilisateur est un membre du personnel, il peut alors appliquer le cas d’usage de l’enregistrement d’un nouveau lecteur</w:t>
            </w:r>
          </w:p>
          <w:p w14:paraId="79293003" w14:textId="65B7C094" w:rsidR="00742ECD" w:rsidRDefault="00742ECD" w:rsidP="00742ECD">
            <w:pPr>
              <w:pStyle w:val="Paragraphedeliste"/>
              <w:numPr>
                <w:ilvl w:val="0"/>
                <w:numId w:val="5"/>
              </w:numPr>
            </w:pPr>
            <w:r>
              <w:t>Sinon, le cas d’utilisation se termine.</w:t>
            </w:r>
          </w:p>
          <w:p w14:paraId="3C44025C" w14:textId="1186EBE5" w:rsidR="00E36C85" w:rsidRDefault="00E36C85" w:rsidP="00003435">
            <w:r>
              <w:t>2.a. L’usager a déjà emprunté 5 ressources, le cas d’utilisation se termine.</w:t>
            </w:r>
          </w:p>
          <w:p w14:paraId="473C9C7D" w14:textId="77777777" w:rsidR="00734851" w:rsidRDefault="00E36C85" w:rsidP="00003435">
            <w:r>
              <w:t xml:space="preserve">2.b. L’usager n’a pas payé sa cotisation, le cas d’utilisation se termine. </w:t>
            </w:r>
          </w:p>
          <w:p w14:paraId="73DB69B7" w14:textId="77777777" w:rsidR="00FF6687" w:rsidRDefault="00FF6687" w:rsidP="00003435">
            <w:r>
              <w:t>3.a. Si la ressource est un CD-ROM alors le système demande une caution.</w:t>
            </w:r>
          </w:p>
          <w:p w14:paraId="0509A8B4" w14:textId="5449FB0C" w:rsidR="00742ECD" w:rsidRDefault="00742ECD" w:rsidP="00742ECD">
            <w:pPr>
              <w:pStyle w:val="Paragraphedeliste"/>
              <w:numPr>
                <w:ilvl w:val="0"/>
                <w:numId w:val="6"/>
              </w:numPr>
            </w:pPr>
            <w:r>
              <w:t>L’utilisateur valide la réception de la caution, le cas d’utilisation continue.</w:t>
            </w:r>
            <w:bookmarkStart w:id="0" w:name="_GoBack"/>
            <w:bookmarkEnd w:id="0"/>
          </w:p>
        </w:tc>
      </w:tr>
    </w:tbl>
    <w:p w14:paraId="100487E3" w14:textId="136CFD6E" w:rsidR="00003435" w:rsidRPr="00003435" w:rsidRDefault="00003435" w:rsidP="005450DF">
      <w:pPr>
        <w:pStyle w:val="Titre2"/>
      </w:pPr>
    </w:p>
    <w:sectPr w:rsidR="00003435" w:rsidRPr="00003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13F1"/>
    <w:multiLevelType w:val="hybridMultilevel"/>
    <w:tmpl w:val="24400E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4027"/>
    <w:multiLevelType w:val="hybridMultilevel"/>
    <w:tmpl w:val="A9C44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3D7F"/>
    <w:multiLevelType w:val="hybridMultilevel"/>
    <w:tmpl w:val="2D822358"/>
    <w:lvl w:ilvl="0" w:tplc="64BCDBE2">
      <w:start w:val="1"/>
      <w:numFmt w:val="lowerLetter"/>
      <w:lvlText w:val="%1)"/>
      <w:lvlJc w:val="left"/>
      <w:pPr>
        <w:ind w:left="1068" w:hanging="360"/>
      </w:pPr>
      <w:rPr>
        <w:rFonts w:asciiTheme="majorHAnsi" w:eastAsiaTheme="majorEastAsia" w:hAnsiTheme="majorHAnsi" w:cstheme="majorBidi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A23624"/>
    <w:multiLevelType w:val="hybridMultilevel"/>
    <w:tmpl w:val="221631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625B"/>
    <w:multiLevelType w:val="hybridMultilevel"/>
    <w:tmpl w:val="EF007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82041"/>
    <w:multiLevelType w:val="hybridMultilevel"/>
    <w:tmpl w:val="6444F174"/>
    <w:lvl w:ilvl="0" w:tplc="8A20888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35"/>
    <w:rsid w:val="00003435"/>
    <w:rsid w:val="000719CB"/>
    <w:rsid w:val="00114DD5"/>
    <w:rsid w:val="0017162F"/>
    <w:rsid w:val="005450DF"/>
    <w:rsid w:val="00734851"/>
    <w:rsid w:val="00742ECD"/>
    <w:rsid w:val="007573CD"/>
    <w:rsid w:val="00A21FBE"/>
    <w:rsid w:val="00CB20B1"/>
    <w:rsid w:val="00E36C85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8C76"/>
  <w15:chartTrackingRefBased/>
  <w15:docId w15:val="{B17D0354-AC72-487D-89AE-93E9C2F0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3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343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03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73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7348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5">
    <w:name w:val="Grid Table 2 Accent 5"/>
    <w:basedOn w:val="TableauNormal"/>
    <w:uiPriority w:val="47"/>
    <w:rsid w:val="0073485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348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7348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web2">
    <w:name w:val="Table Web 2"/>
    <w:basedOn w:val="TableauNormal"/>
    <w:uiPriority w:val="99"/>
    <w:rsid w:val="0073485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4EEF-D2EE-4C6E-A9E5-4A8F7278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roy framery</cp:lastModifiedBy>
  <cp:revision>3</cp:revision>
  <dcterms:created xsi:type="dcterms:W3CDTF">2020-03-07T16:36:00Z</dcterms:created>
  <dcterms:modified xsi:type="dcterms:W3CDTF">2020-03-07T17:01:00Z</dcterms:modified>
</cp:coreProperties>
</file>