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pPr>
      <w:r>
        <w:rPr>
          <w:rFonts w:ascii="Times New Roman" w:hAnsi="Times New Roman" w:eastAsia="宋体"/>
          <w:b w:val="0"/>
          <w:color w:val="000000"/>
          <w:sz w:val="24"/>
        </w:rPr>
      </w:r>
    </w:p>
    <w:p>
      <w:pPr>
        <w:spacing w:line="360" w:lineRule="auto" w:before="0" w:after="0"/>
      </w:pPr>
      <w:r>
        <w:rPr>
          <w:rFonts w:ascii="Times New Roman" w:hAnsi="Times New Roman" w:eastAsia="宋体"/>
          <w:b w:val="0"/>
          <w:color w:val="000000"/>
          <w:sz w:val="24"/>
        </w:rPr>
      </w:r>
    </w:p>
    <w:p>
      <w:pPr>
        <w:spacing w:line="360" w:lineRule="auto" w:before="0" w:after="0"/>
      </w:pPr>
      <w:r>
        <w:rPr>
          <w:rFonts w:ascii="Times New Roman" w:hAnsi="Times New Roman" w:eastAsia="宋体"/>
          <w:b w:val="0"/>
          <w:color w:val="000000"/>
          <w:sz w:val="24"/>
        </w:rPr>
      </w:r>
    </w:p>
    <w:p>
      <w:pPr>
        <w:spacing w:line="360" w:lineRule="auto" w:before="0" w:after="0"/>
      </w:pPr>
      <w:r>
        <w:rPr>
          <w:rFonts w:ascii="Times New Roman" w:hAnsi="Times New Roman" w:eastAsia="宋体"/>
          <w:b w:val="0"/>
          <w:color w:val="000000"/>
          <w:sz w:val="24"/>
        </w:rPr>
      </w:r>
    </w:p>
    <w:p>
      <w:pPr>
        <w:spacing w:line="360" w:lineRule="auto" w:before="0" w:after="0"/>
      </w:pPr>
      <w:r>
        <w:rPr>
          <w:rFonts w:ascii="Times New Roman" w:hAnsi="Times New Roman" w:eastAsia="宋体"/>
          <w:b w:val="0"/>
          <w:color w:val="000000"/>
          <w:sz w:val="24"/>
        </w:rPr>
      </w:r>
    </w:p>
    <w:p>
      <w:pPr>
        <w:spacing w:line="360" w:lineRule="auto" w:before="0" w:after="0"/>
      </w:pPr>
      <w:r>
        <w:rPr>
          <w:rFonts w:ascii="Times New Roman" w:hAnsi="Times New Roman" w:eastAsia="宋体"/>
          <w:b w:val="0"/>
          <w:color w:val="000000"/>
          <w:sz w:val="24"/>
        </w:rPr>
      </w:r>
    </w:p>
    <w:p>
      <w:pPr>
        <w:spacing w:line="360" w:lineRule="auto" w:before="0" w:after="0"/>
        <w:jc w:val="center"/>
      </w:pPr>
      <w:r>
        <w:rPr>
          <w:rFonts w:ascii="Times New Roman" w:hAnsi="Times New Roman" w:eastAsia="黑体"/>
          <w:b/>
          <w:color w:val="000000"/>
          <w:sz w:val="32"/>
        </w:rPr>
        <w:t>基于多传感器融合的</w:t>
      </w:r>
    </w:p>
    <w:p>
      <w:pPr>
        <w:spacing w:line="360" w:lineRule="auto" w:before="0" w:after="0"/>
        <w:jc w:val="center"/>
      </w:pPr>
      <w:r>
        <w:rPr>
          <w:rFonts w:ascii="Times New Roman" w:hAnsi="Times New Roman" w:eastAsia="黑体"/>
          <w:b/>
          <w:color w:val="000000"/>
          <w:sz w:val="32"/>
        </w:rPr>
        <w:t>智能井盖监测系统</w:t>
      </w:r>
    </w:p>
    <w:p>
      <w:pPr>
        <w:jc w:val="center"/>
      </w:pPr>
      <w:r>
        <w:rPr>
          <w:rFonts w:ascii="Times New Roman" w:hAnsi="Times New Roman" w:eastAsia="宋体"/>
          <w:b w:val="0"/>
          <w:color w:val="000000"/>
          <w:sz w:val="20"/>
        </w:rPr>
        <w:t>━━━━━━━━━━━━━━━━━━━━━━━━━━━━━━━━━━━━</w:t>
      </w:r>
    </w:p>
    <w:p>
      <w:pPr>
        <w:spacing w:line="360" w:lineRule="auto" w:before="80" w:after="400"/>
        <w:jc w:val="center"/>
      </w:pPr>
      <w:r>
        <w:rPr>
          <w:rFonts w:ascii="Times New Roman" w:hAnsi="Times New Roman" w:eastAsia="黑体"/>
          <w:b/>
          <w:color w:val="000000"/>
          <w:sz w:val="30"/>
        </w:rPr>
        <w:t>—— 中期报告</w:t>
      </w:r>
    </w:p>
    <w:p>
      <w:pPr>
        <w:jc w:val="center"/>
      </w:pPr>
      <w:r>
        <w:rPr>
          <w:rFonts w:ascii="Times New Roman" w:hAnsi="Times New Roman" w:eastAsia="宋体"/>
          <w:b w:val="0"/>
          <w:color w:val="000000"/>
          <w:sz w:val="20"/>
        </w:rPr>
        <w:t>━━━━━━━━━━━━━━━━━━━━━━━━━━━━━━━━━━━━</w:t>
      </w:r>
    </w:p>
    <w:p>
      <w:pPr>
        <w:spacing w:line="360" w:lineRule="auto" w:before="0" w:after="0"/>
      </w:pPr>
      <w:r>
        <w:rPr>
          <w:rFonts w:ascii="Times New Roman" w:hAnsi="Times New Roman" w:eastAsia="宋体"/>
          <w:b w:val="0"/>
          <w:color w:val="000000"/>
          <w:sz w:val="24"/>
        </w:rPr>
      </w:r>
    </w:p>
    <w:p>
      <w:pPr>
        <w:spacing w:line="360" w:lineRule="auto" w:before="0" w:after="0"/>
      </w:pPr>
      <w:r>
        <w:rPr>
          <w:rFonts w:ascii="Times New Roman" w:hAnsi="Times New Roman" w:eastAsia="宋体"/>
          <w:b w:val="0"/>
          <w:color w:val="000000"/>
          <w:sz w:val="24"/>
        </w:rPr>
      </w:r>
    </w:p>
    <w:p>
      <w:pPr>
        <w:spacing w:line="360" w:lineRule="auto" w:before="0" w:after="0"/>
      </w:pPr>
      <w:r>
        <w:rPr>
          <w:rFonts w:ascii="Times New Roman" w:hAnsi="Times New Roman" w:eastAsia="宋体"/>
          <w:b w:val="0"/>
          <w:color w:val="000000"/>
          <w:sz w:val="24"/>
        </w:rPr>
      </w:r>
    </w:p>
    <w:p>
      <w:pPr>
        <w:spacing w:line="480" w:lineRule="auto"/>
        <w:jc w:val="center"/>
      </w:pPr>
      <w:r>
        <w:rPr>
          <w:rFonts w:ascii="Times New Roman" w:hAnsi="Times New Roman" w:eastAsia="黑体"/>
          <w:b/>
          <w:color w:val="000000"/>
          <w:sz w:val="28"/>
        </w:rPr>
        <w:t>项目名称：</w:t>
      </w:r>
      <w:r>
        <w:rPr>
          <w:rFonts w:ascii="Times New Roman" w:hAnsi="Times New Roman" w:eastAsia="宋体"/>
          <w:b w:val="0"/>
          <w:color w:val="000000"/>
          <w:sz w:val="28"/>
        </w:rPr>
        <w:t>基于多传感器融合的智能井盖监测系统</w:t>
      </w:r>
    </w:p>
    <w:p>
      <w:pPr>
        <w:spacing w:line="480" w:lineRule="auto"/>
        <w:jc w:val="center"/>
      </w:pPr>
      <w:r>
        <w:rPr>
          <w:rFonts w:ascii="Times New Roman" w:hAnsi="Times New Roman" w:eastAsia="黑体"/>
          <w:b/>
          <w:color w:val="000000"/>
          <w:sz w:val="28"/>
        </w:rPr>
        <w:t>项目性质：</w:t>
      </w:r>
      <w:r>
        <w:rPr>
          <w:rFonts w:ascii="Times New Roman" w:hAnsi="Times New Roman" w:eastAsia="宋体"/>
          <w:b w:val="0"/>
          <w:color w:val="000000"/>
          <w:sz w:val="28"/>
        </w:rPr>
        <w:t>小学期课程设计 / 综合实践项目</w:t>
      </w:r>
    </w:p>
    <w:p>
      <w:pPr>
        <w:spacing w:line="480" w:lineRule="auto"/>
        <w:jc w:val="center"/>
      </w:pPr>
      <w:r>
        <w:rPr>
          <w:rFonts w:ascii="Times New Roman" w:hAnsi="Times New Roman" w:eastAsia="黑体"/>
          <w:b/>
          <w:color w:val="000000"/>
          <w:sz w:val="28"/>
        </w:rPr>
        <w:t>指导教师：</w:t>
      </w:r>
      <w:r>
        <w:rPr>
          <w:rFonts w:ascii="Times New Roman" w:hAnsi="Times New Roman" w:eastAsia="宋体"/>
          <w:b w:val="0"/>
          <w:color w:val="000000"/>
          <w:sz w:val="28"/>
        </w:rPr>
        <w:t>李世宝</w:t>
      </w:r>
    </w:p>
    <w:p>
      <w:pPr>
        <w:spacing w:line="480" w:lineRule="auto"/>
        <w:jc w:val="center"/>
      </w:pPr>
      <w:r>
        <w:rPr>
          <w:rFonts w:ascii="Times New Roman" w:hAnsi="Times New Roman" w:eastAsia="黑体"/>
          <w:b/>
          <w:color w:val="000000"/>
          <w:sz w:val="28"/>
        </w:rPr>
        <w:t>小组成员：</w:t>
      </w:r>
      <w:r>
        <w:rPr>
          <w:rFonts w:ascii="Times New Roman" w:hAnsi="Times New Roman" w:eastAsia="宋体"/>
          <w:b w:val="0"/>
          <w:color w:val="000000"/>
          <w:sz w:val="28"/>
        </w:rPr>
        <w:t>Yorkzoom、赵思闵</w:t>
      </w:r>
    </w:p>
    <w:p>
      <w:pPr>
        <w:spacing w:line="480" w:lineRule="auto"/>
        <w:jc w:val="center"/>
      </w:pPr>
      <w:r>
        <w:rPr>
          <w:rFonts w:ascii="Times New Roman" w:hAnsi="Times New Roman" w:eastAsia="黑体"/>
          <w:b/>
          <w:color w:val="000000"/>
          <w:sz w:val="28"/>
        </w:rPr>
        <w:t>报告类型：</w:t>
      </w:r>
      <w:r>
        <w:rPr>
          <w:rFonts w:ascii="Times New Roman" w:hAnsi="Times New Roman" w:eastAsia="宋体"/>
          <w:b w:val="0"/>
          <w:color w:val="000000"/>
          <w:sz w:val="28"/>
        </w:rPr>
        <w:t>中期报告</w:t>
      </w:r>
    </w:p>
    <w:p>
      <w:pPr>
        <w:spacing w:line="480" w:lineRule="auto"/>
        <w:jc w:val="center"/>
      </w:pPr>
      <w:r>
        <w:rPr>
          <w:rFonts w:ascii="Times New Roman" w:hAnsi="Times New Roman" w:eastAsia="黑体"/>
          <w:b/>
          <w:color w:val="000000"/>
          <w:sz w:val="28"/>
        </w:rPr>
        <w:t>完成日期：</w:t>
      </w:r>
      <w:r>
        <w:rPr>
          <w:rFonts w:ascii="Times New Roman" w:hAnsi="Times New Roman" w:eastAsia="宋体"/>
          <w:b w:val="0"/>
          <w:color w:val="000000"/>
          <w:sz w:val="28"/>
        </w:rPr>
        <w:t>2026年7月</w:t>
      </w:r>
    </w:p>
    <w:p>
      <w:r>
        <w:br w:type="page"/>
      </w:r>
    </w:p>
    <w:p>
      <w:pPr>
        <w:spacing w:line="360" w:lineRule="auto" w:before="0" w:after="240"/>
        <w:jc w:val="center"/>
      </w:pPr>
      <w:r>
        <w:rPr>
          <w:rFonts w:ascii="Times New Roman" w:hAnsi="Times New Roman" w:eastAsia="黑体"/>
          <w:b/>
          <w:color w:val="000000"/>
          <w:sz w:val="30"/>
        </w:rPr>
        <w:t>目  录</w:t>
      </w:r>
    </w:p>
    <w:p>
      <w:pPr>
        <w:spacing w:line="360" w:lineRule="auto" w:before="40" w:after="0"/>
        <w:ind w:firstLine="0"/>
      </w:pPr>
      <w:r>
        <w:rPr>
          <w:rFonts w:ascii="Times New Roman" w:hAnsi="Times New Roman" w:eastAsia="宋体"/>
          <w:b/>
          <w:color w:val="000000"/>
          <w:sz w:val="24"/>
        </w:rPr>
        <w:t>一、前言</w:t>
      </w:r>
    </w:p>
    <w:p>
      <w:pPr>
        <w:spacing w:line="360" w:lineRule="auto" w:before="40" w:after="0"/>
        <w:ind w:firstLine="0"/>
      </w:pPr>
      <w:r>
        <w:rPr>
          <w:rFonts w:ascii="Times New Roman" w:hAnsi="Times New Roman" w:eastAsia="宋体"/>
          <w:b/>
          <w:color w:val="000000"/>
          <w:sz w:val="24"/>
        </w:rPr>
        <w:t>二、前期完成内容</w:t>
      </w:r>
    </w:p>
    <w:p>
      <w:pPr>
        <w:spacing w:line="360" w:lineRule="auto" w:before="40" w:after="0"/>
        <w:ind w:firstLine="850"/>
      </w:pPr>
      <w:r>
        <w:rPr>
          <w:rFonts w:ascii="Times New Roman" w:hAnsi="Times New Roman" w:eastAsia="宋体"/>
          <w:b w:val="0"/>
          <w:color w:val="000000"/>
          <w:sz w:val="24"/>
        </w:rPr>
        <w:t xml:space="preserve">    2.1  硬件搭建与传感器验证</w:t>
      </w:r>
    </w:p>
    <w:p>
      <w:pPr>
        <w:spacing w:line="360" w:lineRule="auto" w:before="40" w:after="0"/>
        <w:ind w:firstLine="850"/>
      </w:pPr>
      <w:r>
        <w:rPr>
          <w:rFonts w:ascii="Times New Roman" w:hAnsi="Times New Roman" w:eastAsia="宋体"/>
          <w:b w:val="0"/>
          <w:color w:val="000000"/>
          <w:sz w:val="24"/>
        </w:rPr>
        <w:t xml:space="preserve">    2.2  通信链路搭建</w:t>
      </w:r>
    </w:p>
    <w:p>
      <w:pPr>
        <w:spacing w:line="360" w:lineRule="auto" w:before="40" w:after="0"/>
        <w:ind w:firstLine="850"/>
      </w:pPr>
      <w:r>
        <w:rPr>
          <w:rFonts w:ascii="Times New Roman" w:hAnsi="Times New Roman" w:eastAsia="宋体"/>
          <w:b w:val="0"/>
          <w:color w:val="000000"/>
          <w:sz w:val="24"/>
        </w:rPr>
        <w:t xml:space="preserve">    2.3  Web仪表盘开发</w:t>
      </w:r>
    </w:p>
    <w:p>
      <w:pPr>
        <w:spacing w:line="360" w:lineRule="auto" w:before="40" w:after="0"/>
        <w:ind w:firstLine="850"/>
      </w:pPr>
      <w:r>
        <w:rPr>
          <w:rFonts w:ascii="Times New Roman" w:hAnsi="Times New Roman" w:eastAsia="宋体"/>
          <w:b w:val="0"/>
          <w:color w:val="000000"/>
          <w:sz w:val="24"/>
        </w:rPr>
        <w:t xml:space="preserve">    2.4  AI数据分析集成</w:t>
      </w:r>
    </w:p>
    <w:p>
      <w:pPr>
        <w:spacing w:line="360" w:lineRule="auto" w:before="40" w:after="0"/>
        <w:ind w:firstLine="850"/>
      </w:pPr>
      <w:r>
        <w:rPr>
          <w:rFonts w:ascii="Times New Roman" w:hAnsi="Times New Roman" w:eastAsia="宋体"/>
          <w:b w:val="0"/>
          <w:color w:val="000000"/>
          <w:sz w:val="24"/>
        </w:rPr>
        <w:t xml:space="preserve">    2.5  风险评分与告警系统</w:t>
      </w:r>
    </w:p>
    <w:p>
      <w:pPr>
        <w:spacing w:line="360" w:lineRule="auto" w:before="40" w:after="0"/>
        <w:ind w:firstLine="850"/>
      </w:pPr>
      <w:r>
        <w:rPr>
          <w:rFonts w:ascii="Times New Roman" w:hAnsi="Times New Roman" w:eastAsia="宋体"/>
          <w:b w:val="0"/>
          <w:color w:val="000000"/>
          <w:sz w:val="24"/>
        </w:rPr>
        <w:t xml:space="preserve">    2.6  硬件供电优化</w:t>
      </w:r>
    </w:p>
    <w:p>
      <w:pPr>
        <w:spacing w:line="360" w:lineRule="auto" w:before="40" w:after="0"/>
        <w:ind w:firstLine="850"/>
      </w:pPr>
      <w:r>
        <w:rPr>
          <w:rFonts w:ascii="Times New Roman" w:hAnsi="Times New Roman" w:eastAsia="宋体"/>
          <w:b w:val="0"/>
          <w:color w:val="000000"/>
          <w:sz w:val="24"/>
        </w:rPr>
        <w:t xml:space="preserve">    2.7  工程规范化管理</w:t>
      </w:r>
    </w:p>
    <w:p>
      <w:pPr>
        <w:spacing w:line="360" w:lineRule="auto" w:before="40" w:after="0"/>
        <w:ind w:firstLine="0"/>
      </w:pPr>
      <w:r>
        <w:rPr>
          <w:rFonts w:ascii="Times New Roman" w:hAnsi="Times New Roman" w:eastAsia="宋体"/>
          <w:b/>
          <w:color w:val="000000"/>
          <w:sz w:val="24"/>
        </w:rPr>
        <w:t>三、项目进度总结</w:t>
      </w:r>
    </w:p>
    <w:p>
      <w:pPr>
        <w:spacing w:line="360" w:lineRule="auto" w:before="40" w:after="0"/>
        <w:ind w:firstLine="0"/>
      </w:pPr>
      <w:r>
        <w:rPr>
          <w:rFonts w:ascii="Times New Roman" w:hAnsi="Times New Roman" w:eastAsia="宋体"/>
          <w:b/>
          <w:color w:val="000000"/>
          <w:sz w:val="24"/>
        </w:rPr>
        <w:t>四、后期工作展望</w:t>
      </w:r>
    </w:p>
    <w:p>
      <w:pPr>
        <w:spacing w:line="360" w:lineRule="auto" w:before="40" w:after="0"/>
        <w:ind w:firstLine="850"/>
      </w:pPr>
      <w:r>
        <w:rPr>
          <w:rFonts w:ascii="Times New Roman" w:hAnsi="Times New Roman" w:eastAsia="宋体"/>
          <w:b w:val="0"/>
          <w:color w:val="000000"/>
          <w:sz w:val="24"/>
        </w:rPr>
        <w:t xml:space="preserve">    4.1  实地测试与长期稳定性验证</w:t>
      </w:r>
    </w:p>
    <w:p>
      <w:pPr>
        <w:spacing w:line="360" w:lineRule="auto" w:before="40" w:after="0"/>
        <w:ind w:firstLine="850"/>
      </w:pPr>
      <w:r>
        <w:rPr>
          <w:rFonts w:ascii="Times New Roman" w:hAnsi="Times New Roman" w:eastAsia="宋体"/>
          <w:b w:val="0"/>
          <w:color w:val="000000"/>
          <w:sz w:val="24"/>
        </w:rPr>
        <w:t xml:space="preserve">    4.2  多设备组网支持</w:t>
      </w:r>
    </w:p>
    <w:p>
      <w:pPr>
        <w:spacing w:line="360" w:lineRule="auto" w:before="40" w:after="0"/>
        <w:ind w:firstLine="850"/>
      </w:pPr>
      <w:r>
        <w:rPr>
          <w:rFonts w:ascii="Times New Roman" w:hAnsi="Times New Roman" w:eastAsia="宋体"/>
          <w:b w:val="0"/>
          <w:color w:val="000000"/>
          <w:sz w:val="24"/>
        </w:rPr>
        <w:t xml:space="preserve">    4.3  低功耗优化</w:t>
      </w:r>
    </w:p>
    <w:p>
      <w:pPr>
        <w:spacing w:line="360" w:lineRule="auto" w:before="40" w:after="0"/>
        <w:ind w:firstLine="850"/>
      </w:pPr>
      <w:r>
        <w:rPr>
          <w:rFonts w:ascii="Times New Roman" w:hAnsi="Times New Roman" w:eastAsia="宋体"/>
          <w:b w:val="0"/>
          <w:color w:val="000000"/>
          <w:sz w:val="24"/>
        </w:rPr>
        <w:t xml:space="preserve">    4.4  华为云IoTDA集成</w:t>
      </w:r>
    </w:p>
    <w:p>
      <w:pPr>
        <w:spacing w:line="360" w:lineRule="auto" w:before="40" w:after="0"/>
        <w:ind w:firstLine="850"/>
      </w:pPr>
      <w:r>
        <w:rPr>
          <w:rFonts w:ascii="Times New Roman" w:hAnsi="Times New Roman" w:eastAsia="宋体"/>
          <w:b w:val="0"/>
          <w:color w:val="000000"/>
          <w:sz w:val="24"/>
        </w:rPr>
        <w:t xml:space="preserve">    4.5  大数据分析与预测</w:t>
      </w:r>
    </w:p>
    <w:p>
      <w:pPr>
        <w:spacing w:line="360" w:lineRule="auto" w:before="40" w:after="0"/>
        <w:ind w:firstLine="850"/>
      </w:pPr>
      <w:r>
        <w:rPr>
          <w:rFonts w:ascii="Times New Roman" w:hAnsi="Times New Roman" w:eastAsia="宋体"/>
          <w:b w:val="0"/>
          <w:color w:val="000000"/>
          <w:sz w:val="24"/>
        </w:rPr>
        <w:t xml:space="preserve">    4.6  联动控制功能</w:t>
      </w:r>
    </w:p>
    <w:p>
      <w:pPr>
        <w:spacing w:line="360" w:lineRule="auto" w:before="40" w:after="0"/>
        <w:ind w:firstLine="0"/>
      </w:pPr>
      <w:r>
        <w:rPr>
          <w:rFonts w:ascii="Times New Roman" w:hAnsi="Times New Roman" w:eastAsia="宋体"/>
          <w:b/>
          <w:color w:val="000000"/>
          <w:sz w:val="24"/>
        </w:rPr>
        <w:t>五、结语</w:t>
      </w:r>
    </w:p>
    <w:p>
      <w:r>
        <w:br w:type="page"/>
      </w:r>
    </w:p>
    <w:p>
      <w:pPr>
        <w:spacing w:line="360" w:lineRule="auto" w:before="240" w:after="80"/>
      </w:pPr>
      <w:r>
        <w:rPr>
          <w:rFonts w:ascii="Times New Roman" w:hAnsi="Times New Roman" w:eastAsia="黑体"/>
          <w:b/>
          <w:color w:val="000000"/>
          <w:sz w:val="28"/>
        </w:rPr>
        <w:t>一、前言</w:t>
      </w:r>
    </w:p>
    <w:p>
      <w:pPr>
        <w:spacing w:line="360" w:lineRule="auto" w:before="0" w:after="20"/>
        <w:ind w:firstLine="420"/>
      </w:pPr>
      <w:r>
        <w:rPr>
          <w:rFonts w:ascii="Times New Roman" w:hAnsi="Times New Roman" w:eastAsia="宋体"/>
          <w:b w:val="0"/>
          <w:color w:val="000000"/>
          <w:sz w:val="24"/>
        </w:rPr>
        <w:t>本报告对"基于多传感器融合的智能井盖监测系统"项目前期阶段的工作进行系统性总结，涵盖硬件搭建与验证、通信链路建立、Web仪表盘开发、数据分析与告警等核心模块的完成情况，并对后期工作做出规划与展望。</w:t>
      </w:r>
    </w:p>
    <w:p>
      <w:pPr>
        <w:spacing w:line="360" w:lineRule="auto" w:before="0" w:after="20"/>
        <w:ind w:firstLine="420"/>
      </w:pPr>
      <w:r>
        <w:rPr>
          <w:rFonts w:ascii="Times New Roman" w:hAnsi="Times New Roman" w:eastAsia="宋体"/>
          <w:b w:val="0"/>
          <w:color w:val="000000"/>
          <w:sz w:val="24"/>
        </w:rPr>
        <w:t>项目以ESP32为主控芯片，集成MPU6050倾角传感器、BH1750光照传感器、DHT11温湿度传感器、MQ-2可燃气体传感器和MQ-4甲烷传感器共五类传感器，通过WiFi+MQTT协议将数据实时上传至公共MQTT代理，后端Node.js服务器接收并处理后通过Socket.IO推送至React前端仪表盘进行可视化展示。同时集成DeepSeek AI分析功能，实现智能化的安全评估与趋势判断。</w:t>
      </w:r>
    </w:p>
    <w:p>
      <w:pPr>
        <w:spacing w:line="360" w:lineRule="auto" w:before="240" w:after="80"/>
      </w:pPr>
      <w:r>
        <w:rPr>
          <w:rFonts w:ascii="Times New Roman" w:hAnsi="Times New Roman" w:eastAsia="黑体"/>
          <w:b/>
          <w:color w:val="000000"/>
          <w:sz w:val="28"/>
        </w:rPr>
        <w:t>二、前期完成内容</w:t>
      </w:r>
    </w:p>
    <w:p>
      <w:pPr>
        <w:spacing w:line="360" w:lineRule="auto" w:before="0" w:after="20"/>
        <w:ind w:firstLine="420"/>
      </w:pPr>
      <w:r>
        <w:rPr>
          <w:rFonts w:ascii="Times New Roman" w:hAnsi="Times New Roman" w:eastAsia="宋体"/>
          <w:b w:val="0"/>
          <w:color w:val="000000"/>
          <w:sz w:val="24"/>
        </w:rPr>
        <w:t>项目自启动以来，按计划完成了硬件搭建、通信链路建立、软件系统开发等全部前期工作。以下对各模块完成情况进行详细说明。</w:t>
      </w:r>
    </w:p>
    <w:p>
      <w:pPr>
        <w:spacing w:line="360" w:lineRule="auto" w:before="160" w:after="40"/>
      </w:pPr>
      <w:r>
        <w:rPr>
          <w:rFonts w:ascii="Times New Roman" w:hAnsi="Times New Roman" w:eastAsia="黑体"/>
          <w:b/>
          <w:color w:val="000000"/>
          <w:sz w:val="24"/>
        </w:rPr>
        <w:t>2.1  硬件搭建与传感器验证</w:t>
      </w:r>
    </w:p>
    <w:p>
      <w:pPr>
        <w:spacing w:line="360" w:lineRule="auto" w:before="0" w:after="20"/>
        <w:ind w:firstLine="420"/>
      </w:pPr>
      <w:r>
        <w:rPr>
          <w:rFonts w:ascii="Times New Roman" w:hAnsi="Times New Roman" w:eastAsia="宋体"/>
          <w:b w:val="0"/>
          <w:color w:val="000000"/>
          <w:sz w:val="24"/>
        </w:rPr>
        <w:t>完成了基于ESP32 Dev Module主控芯片与五类传感器（MPU6050倾角传感器、BH1750光照传感器、DHT11温湿度传感器、MQ-2可燃气体传感器、MQ-4甲烷传感器）的硬件搭建与调试。传感器通过I2C（MPU6050/BH1750共用I2C总线：SDA=GPIO21, SCL=GPIO22）、ADC（MQ-2=GPIO34, MQ-4=GPIO35）及单总线（DHT11=GPIO4）接入ESP32。</w:t>
      </w:r>
    </w:p>
    <w:p>
      <w:pPr>
        <w:spacing w:line="360" w:lineRule="auto" w:before="0" w:after="20"/>
        <w:ind w:firstLine="420"/>
      </w:pPr>
      <w:r>
        <w:rPr>
          <w:rFonts w:ascii="Times New Roman" w:hAnsi="Times New Roman" w:eastAsia="宋体"/>
          <w:b w:val="0"/>
          <w:color w:val="000000"/>
          <w:sz w:val="24"/>
        </w:rPr>
        <w:t>在纯本地模式下完成了4分钟236次连续采样的零错误稳定性测试，验证了硬件系统的可靠性。MPU6050倾角精度达到±1度，DHT11温度精度±2摄氏度、湿度精度±5%RH，各项技术指标均达到预期目标。</w:t>
      </w:r>
    </w:p>
    <w:p>
      <w:pPr>
        <w:spacing w:line="360" w:lineRule="auto" w:before="160" w:after="40"/>
      </w:pPr>
      <w:r>
        <w:rPr>
          <w:rFonts w:ascii="Times New Roman" w:hAnsi="Times New Roman" w:eastAsia="黑体"/>
          <w:b/>
          <w:color w:val="000000"/>
          <w:sz w:val="24"/>
        </w:rPr>
        <w:t>2.2  通信链路搭建</w:t>
      </w:r>
    </w:p>
    <w:p>
      <w:pPr>
        <w:spacing w:line="360" w:lineRule="auto" w:before="0" w:after="20"/>
        <w:ind w:firstLine="420"/>
      </w:pPr>
      <w:r>
        <w:rPr>
          <w:rFonts w:ascii="Times New Roman" w:hAnsi="Times New Roman" w:eastAsia="宋体"/>
          <w:b w:val="0"/>
          <w:color w:val="000000"/>
          <w:sz w:val="24"/>
        </w:rPr>
        <w:t>初期尝试基于华为云IoTDA平台进行数据传输，完成了MQTT连接与数据上报验证，但因IAM权限不足未能打通完整链路。随后调整为基于公共MQTT代理（broker.emqx.io:1883）的方案，ESP32固件通过MQTT协议将传感器数据发布至主题manhole/esp32_001/data，Node.js后端订阅该主题并接收实时数据，实现了稳定可靠的数据传输链路。备用方案包括broker.hivemq.com及HTTP POST方式，形成多层次的通信容灾机制。</w:t>
      </w:r>
    </w:p>
    <w:p>
      <w:pPr>
        <w:spacing w:line="360" w:lineRule="auto" w:before="160" w:after="40"/>
      </w:pPr>
      <w:r>
        <w:rPr>
          <w:rFonts w:ascii="Times New Roman" w:hAnsi="Times New Roman" w:eastAsia="黑体"/>
          <w:b/>
          <w:color w:val="000000"/>
          <w:sz w:val="24"/>
        </w:rPr>
        <w:t>2.3  Web仪表盘开发</w:t>
      </w:r>
    </w:p>
    <w:p>
      <w:pPr>
        <w:spacing w:line="360" w:lineRule="auto" w:before="0" w:after="20"/>
        <w:ind w:firstLine="420"/>
      </w:pPr>
      <w:r>
        <w:rPr>
          <w:rFonts w:ascii="Times New Roman" w:hAnsi="Times New Roman" w:eastAsia="宋体"/>
          <w:b w:val="0"/>
          <w:color w:val="000000"/>
          <w:sz w:val="24"/>
        </w:rPr>
        <w:t>基于React 18 + TypeScript + Vite + Tailwind CSS技术栈开发了智能井盖监测系统的Web仪表盘前端，后端基于Node.js + Express + Socket.IO。仪表盘包含以下10个功能模块：</w:t>
      </w:r>
    </w:p>
    <w:p>
      <w:pPr>
        <w:spacing w:line="360" w:lineRule="auto" w:before="20" w:after="0"/>
      </w:pPr>
      <w:r>
        <w:rPr>
          <w:rFonts w:ascii="Times New Roman" w:hAnsi="Times New Roman" w:eastAsia="宋体"/>
          <w:b w:val="0"/>
          <w:color w:val="000000"/>
          <w:sz w:val="24"/>
        </w:rPr>
        <w:t xml:space="preserve">  ● 传感器实时数据展示（温度、湿度、光照、倾角X/Y/Z、MQ-2、MQ-4）</w:t>
      </w:r>
    </w:p>
    <w:p>
      <w:pPr>
        <w:spacing w:line="360" w:lineRule="auto" w:before="20" w:after="0"/>
      </w:pPr>
      <w:r>
        <w:rPr>
          <w:rFonts w:ascii="Times New Roman" w:hAnsi="Times New Roman" w:eastAsia="宋体"/>
          <w:b w:val="0"/>
          <w:color w:val="000000"/>
          <w:sz w:val="24"/>
        </w:rPr>
        <w:t xml:space="preserve">  ● ECharts折线图展示各传感器历史趋势</w:t>
      </w:r>
    </w:p>
    <w:p>
      <w:pPr>
        <w:spacing w:line="360" w:lineRule="auto" w:before="20" w:after="0"/>
      </w:pPr>
      <w:r>
        <w:rPr>
          <w:rFonts w:ascii="Times New Roman" w:hAnsi="Times New Roman" w:eastAsia="宋体"/>
          <w:b w:val="0"/>
          <w:color w:val="000000"/>
          <w:sz w:val="24"/>
        </w:rPr>
        <w:t xml:space="preserve">  ● 风险评分与安全等级（正常/中风险/高风险/严重）</w:t>
      </w:r>
    </w:p>
    <w:p>
      <w:pPr>
        <w:spacing w:line="360" w:lineRule="auto" w:before="20" w:after="0"/>
      </w:pPr>
      <w:r>
        <w:rPr>
          <w:rFonts w:ascii="Times New Roman" w:hAnsi="Times New Roman" w:eastAsia="宋体"/>
          <w:b w:val="0"/>
          <w:color w:val="000000"/>
          <w:sz w:val="24"/>
        </w:rPr>
        <w:t xml:space="preserve">  ● DeepSeek AI智能数据分析（基于真实传感器数据的多维度分析报告）</w:t>
      </w:r>
    </w:p>
    <w:p>
      <w:pPr>
        <w:spacing w:line="360" w:lineRule="auto" w:before="20" w:after="0"/>
      </w:pPr>
      <w:r>
        <w:rPr>
          <w:rFonts w:ascii="Times New Roman" w:hAnsi="Times New Roman" w:eastAsia="宋体"/>
          <w:b w:val="0"/>
          <w:color w:val="000000"/>
          <w:sz w:val="24"/>
        </w:rPr>
        <w:t xml:space="preserve">  ● 安全警告记录与列表（支持3分钟冷却机制防重复告警）</w:t>
      </w:r>
    </w:p>
    <w:p>
      <w:pPr>
        <w:spacing w:line="360" w:lineRule="auto" w:before="20" w:after="0"/>
      </w:pPr>
      <w:r>
        <w:rPr>
          <w:rFonts w:ascii="Times New Roman" w:hAnsi="Times New Roman" w:eastAsia="宋体"/>
          <w:b w:val="0"/>
          <w:color w:val="000000"/>
          <w:sz w:val="24"/>
        </w:rPr>
        <w:t xml:space="preserve">  ● 电子地图定位（中国石油大学华东-南教教学楼，支持位置编辑）</w:t>
      </w:r>
    </w:p>
    <w:p>
      <w:pPr>
        <w:spacing w:line="360" w:lineRule="auto" w:before="20" w:after="0"/>
      </w:pPr>
      <w:r>
        <w:rPr>
          <w:rFonts w:ascii="Times New Roman" w:hAnsi="Times New Roman" w:eastAsia="宋体"/>
          <w:b w:val="0"/>
          <w:color w:val="000000"/>
          <w:sz w:val="24"/>
        </w:rPr>
        <w:t xml:space="preserve">  ● 系统运行状态（ESP32在线状态、运行时长、数据源切换）</w:t>
      </w:r>
    </w:p>
    <w:p>
      <w:pPr>
        <w:spacing w:line="360" w:lineRule="auto" w:before="20" w:after="0"/>
      </w:pPr>
      <w:r>
        <w:rPr>
          <w:rFonts w:ascii="Times New Roman" w:hAnsi="Times New Roman" w:eastAsia="宋体"/>
          <w:b w:val="0"/>
          <w:color w:val="000000"/>
          <w:sz w:val="24"/>
        </w:rPr>
        <w:t xml:space="preserve">  ● CSV历史数据导出</w:t>
      </w:r>
    </w:p>
    <w:p>
      <w:pPr>
        <w:spacing w:line="360" w:lineRule="auto" w:before="20" w:after="0"/>
      </w:pPr>
      <w:r>
        <w:rPr>
          <w:rFonts w:ascii="Times New Roman" w:hAnsi="Times New Roman" w:eastAsia="宋体"/>
          <w:b w:val="0"/>
          <w:color w:val="000000"/>
          <w:sz w:val="24"/>
        </w:rPr>
        <w:t xml:space="preserve">  ● 浏览器桌面通知（中风险及以上实时通知）</w:t>
      </w:r>
    </w:p>
    <w:p>
      <w:pPr>
        <w:spacing w:line="360" w:lineRule="auto" w:before="20" w:after="0"/>
      </w:pPr>
      <w:r>
        <w:rPr>
          <w:rFonts w:ascii="Times New Roman" w:hAnsi="Times New Roman" w:eastAsia="宋体"/>
          <w:b w:val="0"/>
          <w:color w:val="000000"/>
          <w:sz w:val="24"/>
        </w:rPr>
        <w:t xml:space="preserve">  ● 阈值基线自动校准功能</w:t>
      </w:r>
    </w:p>
    <w:p>
      <w:pPr>
        <w:spacing w:line="360" w:lineRule="auto" w:before="160" w:after="40"/>
      </w:pPr>
      <w:r>
        <w:rPr>
          <w:rFonts w:ascii="Times New Roman" w:hAnsi="Times New Roman" w:eastAsia="黑体"/>
          <w:b/>
          <w:color w:val="000000"/>
          <w:sz w:val="24"/>
        </w:rPr>
        <w:t>2.4  AI数据分析集成</w:t>
      </w:r>
    </w:p>
    <w:p>
      <w:pPr>
        <w:spacing w:line="360" w:lineRule="auto" w:before="0" w:after="20"/>
        <w:ind w:firstLine="420"/>
      </w:pPr>
      <w:r>
        <w:rPr>
          <w:rFonts w:ascii="Times New Roman" w:hAnsi="Times New Roman" w:eastAsia="宋体"/>
          <w:b w:val="0"/>
          <w:color w:val="000000"/>
          <w:sz w:val="24"/>
        </w:rPr>
        <w:t>集成了DeepSeek API进行智能数据分析，每30秒对最新传感器数据进行一次AI分析，生成包含安全评估、趋势预判、异常检测和维护建议的自然语言报告。AI分析结果以结构化JSON格式呈现，包含风险等级（low/mid/high/critical）、摘要、趋势分析、异常列表和建议列表五个维度，有效提升了系统的智能化水平。</w:t>
      </w:r>
    </w:p>
    <w:p>
      <w:pPr>
        <w:spacing w:line="360" w:lineRule="auto" w:before="160" w:after="40"/>
      </w:pPr>
      <w:r>
        <w:rPr>
          <w:rFonts w:ascii="Times New Roman" w:hAnsi="Times New Roman" w:eastAsia="黑体"/>
          <w:b/>
          <w:color w:val="000000"/>
          <w:sz w:val="24"/>
        </w:rPr>
        <w:t>2.5  风险评分与告警系统</w:t>
      </w:r>
    </w:p>
    <w:p>
      <w:pPr>
        <w:spacing w:line="360" w:lineRule="auto" w:before="0" w:after="20"/>
        <w:ind w:firstLine="420"/>
      </w:pPr>
      <w:r>
        <w:rPr>
          <w:rFonts w:ascii="Times New Roman" w:hAnsi="Times New Roman" w:eastAsia="宋体"/>
          <w:b w:val="0"/>
          <w:color w:val="000000"/>
          <w:sz w:val="24"/>
        </w:rPr>
        <w:t>构建了基于多传感器加权融合的风险评分模型。评分算法综合考虑四项指标：可燃气体浓度（权重40%）、井盖开启状态/光照（权重25%）、倾斜角度（权重20%）和环境温度（权重15%），综合评估井盖安全状态。总分0-100分，划分为正常（0-29）、低风险（30-59）、中风险（60-79）、高风险（80-100）四个等级，实现分级告警。告警系统采用3分钟冷却机制防止重复通知，同时支持浏览器桌面推送。</w:t>
      </w:r>
    </w:p>
    <w:p>
      <w:pPr>
        <w:spacing w:line="360" w:lineRule="auto" w:before="160" w:after="40"/>
      </w:pPr>
      <w:r>
        <w:rPr>
          <w:rFonts w:ascii="Times New Roman" w:hAnsi="Times New Roman" w:eastAsia="黑体"/>
          <w:b/>
          <w:color w:val="000000"/>
          <w:sz w:val="24"/>
        </w:rPr>
        <w:t>2.6  硬件供电优化</w:t>
      </w:r>
    </w:p>
    <w:p>
      <w:pPr>
        <w:spacing w:line="360" w:lineRule="auto" w:before="0" w:after="20"/>
        <w:ind w:firstLine="420"/>
      </w:pPr>
      <w:r>
        <w:rPr>
          <w:rFonts w:ascii="Times New Roman" w:hAnsi="Times New Roman" w:eastAsia="宋体"/>
          <w:b w:val="0"/>
          <w:color w:val="000000"/>
          <w:sz w:val="24"/>
        </w:rPr>
        <w:t>针对初期MQ传感器加热丝导致USB供电不足（总电流超500mA）的问题，将全部传感器统一改为3.3V供电，实测总电流约400mA，系统稳定运行。同时将CPU降频至80MHz配合WiFi连接，有效降低了功耗。此外还完成了详细的硬件接线图文档（MB-102 830孔面包板精确孔位接线图），为后续硬件复现提供了完整的参考依据。</w:t>
      </w:r>
    </w:p>
    <w:p>
      <w:pPr>
        <w:spacing w:line="360" w:lineRule="auto" w:before="160" w:after="40"/>
      </w:pPr>
      <w:r>
        <w:rPr>
          <w:rFonts w:ascii="Times New Roman" w:hAnsi="Times New Roman" w:eastAsia="黑体"/>
          <w:b/>
          <w:color w:val="000000"/>
          <w:sz w:val="24"/>
        </w:rPr>
        <w:t>2.7  工程规范化管理</w:t>
      </w:r>
    </w:p>
    <w:p>
      <w:pPr>
        <w:spacing w:line="360" w:lineRule="auto" w:before="0" w:after="20"/>
        <w:ind w:firstLine="420"/>
      </w:pPr>
      <w:r>
        <w:rPr>
          <w:rFonts w:ascii="Times New Roman" w:hAnsi="Times New Roman" w:eastAsia="宋体"/>
          <w:b w:val="0"/>
          <w:color w:val="000000"/>
          <w:sz w:val="24"/>
        </w:rPr>
        <w:t>对项目文件进行了系统性整理，按照功能模块划分为esp32（固件方案，含MQTT发布方案、传感器诊断固件、HTTP POST备选方案、华为云MQTT方案）、server（后端服务及前端源码）、hardware（硬件接线图）、docs（项目文档）、scripts（启动脚本）、secrets（密钥模板）、tools（工具软件）等目录，实现了代码的模块化管理。同时提供了完整的README文档、一键启动脚本（start-server.bat、install-deps.bat、rebuild-frontend.bat），便于项目部署与演示。</w:t>
      </w:r>
    </w:p>
    <w:p>
      <w:pPr>
        <w:spacing w:line="360" w:lineRule="auto" w:before="240" w:after="80"/>
      </w:pPr>
      <w:r>
        <w:rPr>
          <w:rFonts w:ascii="Times New Roman" w:hAnsi="Times New Roman" w:eastAsia="黑体"/>
          <w:b/>
          <w:color w:val="000000"/>
          <w:sz w:val="28"/>
        </w:rPr>
        <w:t>三、项目进度总结</w:t>
      </w:r>
    </w:p>
    <w:p>
      <w:pPr>
        <w:spacing w:line="360" w:lineRule="auto" w:before="0" w:after="20"/>
        <w:ind w:firstLine="420"/>
      </w:pPr>
      <w:r>
        <w:rPr>
          <w:rFonts w:ascii="Times New Roman" w:hAnsi="Times New Roman" w:eastAsia="宋体"/>
          <w:b w:val="0"/>
          <w:color w:val="000000"/>
          <w:sz w:val="24"/>
        </w:rPr>
        <w:t>截至本报告提交之日，项目硬件部分已全部完成，通信链路稳定运行，Web仪表盘功能完善。具体进度如下表所示：</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078"/>
        <w:gridCol w:w="2078"/>
        <w:gridCol w:w="2078"/>
        <w:gridCol w:w="2078"/>
      </w:tblGrid>
      <w:tr>
        <w:tc>
          <w:tcPr>
            <w:tcW w:type="dxa" w:w="1417"/>
            <w:vAlign w:val="center"/>
            <w:shd w:fill="D9D9D9"/>
          </w:tcPr>
          <w:p>
            <w:pPr>
              <w:spacing w:before="40" w:after="40"/>
              <w:jc w:val="center"/>
            </w:pPr>
            <w:r/>
            <w:r>
              <w:rPr>
                <w:rFonts w:ascii="Times New Roman" w:hAnsi="Times New Roman" w:eastAsia="黑体"/>
                <w:b/>
                <w:color w:val="000000"/>
                <w:sz w:val="24"/>
              </w:rPr>
              <w:t>阶段</w:t>
            </w:r>
          </w:p>
        </w:tc>
        <w:tc>
          <w:tcPr>
            <w:tcW w:type="dxa" w:w="3969"/>
            <w:vAlign w:val="center"/>
            <w:shd w:fill="D9D9D9"/>
          </w:tcPr>
          <w:p>
            <w:pPr>
              <w:spacing w:before="40" w:after="40"/>
              <w:jc w:val="center"/>
            </w:pPr>
            <w:r/>
            <w:r>
              <w:rPr>
                <w:rFonts w:ascii="Times New Roman" w:hAnsi="Times New Roman" w:eastAsia="黑体"/>
                <w:b/>
                <w:color w:val="000000"/>
                <w:sz w:val="24"/>
              </w:rPr>
              <w:t>任务内容</w:t>
            </w:r>
          </w:p>
        </w:tc>
        <w:tc>
          <w:tcPr>
            <w:tcW w:type="dxa" w:w="1134"/>
            <w:vAlign w:val="center"/>
            <w:shd w:fill="D9D9D9"/>
          </w:tcPr>
          <w:p>
            <w:pPr>
              <w:spacing w:before="40" w:after="40"/>
              <w:jc w:val="center"/>
            </w:pPr>
            <w:r/>
            <w:r>
              <w:rPr>
                <w:rFonts w:ascii="Times New Roman" w:hAnsi="Times New Roman" w:eastAsia="黑体"/>
                <w:b/>
                <w:color w:val="000000"/>
                <w:sz w:val="24"/>
              </w:rPr>
              <w:t>状态</w:t>
            </w:r>
          </w:p>
        </w:tc>
        <w:tc>
          <w:tcPr>
            <w:tcW w:type="dxa" w:w="1134"/>
            <w:vAlign w:val="center"/>
            <w:shd w:fill="D9D9D9"/>
          </w:tcPr>
          <w:p>
            <w:pPr>
              <w:spacing w:before="40" w:after="40"/>
              <w:jc w:val="center"/>
            </w:pPr>
            <w:r/>
            <w:r>
              <w:rPr>
                <w:rFonts w:ascii="Times New Roman" w:hAnsi="Times New Roman" w:eastAsia="黑体"/>
                <w:b/>
                <w:color w:val="000000"/>
                <w:sz w:val="24"/>
              </w:rPr>
              <w:t>完成时间</w:t>
            </w:r>
          </w:p>
        </w:tc>
      </w:tr>
      <w:tr>
        <w:tc>
          <w:tcPr>
            <w:tcW w:type="dxa" w:w="1417"/>
            <w:vAlign w:val="center"/>
          </w:tcPr>
          <w:p>
            <w:pPr>
              <w:spacing w:before="40" w:after="40"/>
              <w:jc w:val="center"/>
            </w:pPr>
            <w:r/>
            <w:r>
              <w:rPr>
                <w:rFonts w:ascii="Times New Roman" w:hAnsi="Times New Roman" w:eastAsia="宋体"/>
                <w:b w:val="0"/>
                <w:color w:val="000000"/>
                <w:sz w:val="24"/>
              </w:rPr>
              <w:t>硬件搭建</w:t>
            </w:r>
          </w:p>
        </w:tc>
        <w:tc>
          <w:tcPr>
            <w:tcW w:type="dxa" w:w="3969"/>
            <w:vAlign w:val="center"/>
          </w:tcPr>
          <w:p>
            <w:pPr>
              <w:spacing w:before="40" w:after="40"/>
              <w:jc w:val="center"/>
            </w:pPr>
            <w:r/>
            <w:r>
              <w:rPr>
                <w:rFonts w:ascii="Times New Roman" w:hAnsi="Times New Roman" w:eastAsia="宋体"/>
                <w:b w:val="0"/>
                <w:color w:val="000000"/>
                <w:sz w:val="24"/>
              </w:rPr>
              <w:t>传感器选型、接线、面包板搭建</w:t>
            </w:r>
          </w:p>
        </w:tc>
        <w:tc>
          <w:tcPr>
            <w:tcW w:type="dxa" w:w="1134"/>
            <w:vAlign w:val="center"/>
          </w:tcPr>
          <w:p>
            <w:pPr>
              <w:spacing w:before="40" w:after="40"/>
              <w:jc w:val="center"/>
            </w:pPr>
            <w:r/>
            <w:r>
              <w:rPr>
                <w:rFonts w:ascii="Times New Roman" w:hAnsi="Times New Roman" w:eastAsia="宋体"/>
                <w:b w:val="0"/>
                <w:color w:val="000000"/>
                <w:sz w:val="24"/>
              </w:rPr>
              <w:t>已完成</w:t>
            </w:r>
          </w:p>
        </w:tc>
        <w:tc>
          <w:tcPr>
            <w:tcW w:type="dxa" w:w="1134"/>
            <w:vAlign w:val="center"/>
          </w:tcPr>
          <w:p>
            <w:pPr>
              <w:spacing w:before="40" w:after="40"/>
              <w:jc w:val="center"/>
            </w:pPr>
            <w:r/>
            <w:r>
              <w:rPr>
                <w:rFonts w:ascii="Times New Roman" w:hAnsi="Times New Roman" w:eastAsia="宋体"/>
                <w:b w:val="0"/>
                <w:color w:val="000000"/>
                <w:sz w:val="24"/>
              </w:rPr>
              <w:t>7月5日</w:t>
            </w:r>
          </w:p>
        </w:tc>
      </w:tr>
      <w:tr>
        <w:tc>
          <w:tcPr>
            <w:tcW w:type="dxa" w:w="1417"/>
            <w:vAlign w:val="center"/>
          </w:tcPr>
          <w:p>
            <w:pPr>
              <w:spacing w:before="40" w:after="40"/>
              <w:jc w:val="center"/>
            </w:pPr>
            <w:r/>
            <w:r>
              <w:rPr>
                <w:rFonts w:ascii="Times New Roman" w:hAnsi="Times New Roman" w:eastAsia="宋体"/>
                <w:b w:val="0"/>
                <w:color w:val="000000"/>
                <w:sz w:val="24"/>
              </w:rPr>
              <w:t>传感器验证</w:t>
            </w:r>
          </w:p>
        </w:tc>
        <w:tc>
          <w:tcPr>
            <w:tcW w:type="dxa" w:w="3969"/>
            <w:vAlign w:val="center"/>
          </w:tcPr>
          <w:p>
            <w:pPr>
              <w:spacing w:before="40" w:after="40"/>
              <w:jc w:val="center"/>
            </w:pPr>
            <w:r/>
            <w:r>
              <w:rPr>
                <w:rFonts w:ascii="Times New Roman" w:hAnsi="Times New Roman" w:eastAsia="宋体"/>
                <w:b w:val="0"/>
                <w:color w:val="000000"/>
                <w:sz w:val="24"/>
              </w:rPr>
              <w:t>单传感器及多传感器协同测试（236次零错误）</w:t>
            </w:r>
          </w:p>
        </w:tc>
        <w:tc>
          <w:tcPr>
            <w:tcW w:type="dxa" w:w="1134"/>
            <w:vAlign w:val="center"/>
          </w:tcPr>
          <w:p>
            <w:pPr>
              <w:spacing w:before="40" w:after="40"/>
              <w:jc w:val="center"/>
            </w:pPr>
            <w:r/>
            <w:r>
              <w:rPr>
                <w:rFonts w:ascii="Times New Roman" w:hAnsi="Times New Roman" w:eastAsia="宋体"/>
                <w:b w:val="0"/>
                <w:color w:val="000000"/>
                <w:sz w:val="24"/>
              </w:rPr>
              <w:t>已完成</w:t>
            </w:r>
          </w:p>
        </w:tc>
        <w:tc>
          <w:tcPr>
            <w:tcW w:type="dxa" w:w="1134"/>
            <w:vAlign w:val="center"/>
          </w:tcPr>
          <w:p>
            <w:pPr>
              <w:spacing w:before="40" w:after="40"/>
              <w:jc w:val="center"/>
            </w:pPr>
            <w:r/>
            <w:r>
              <w:rPr>
                <w:rFonts w:ascii="Times New Roman" w:hAnsi="Times New Roman" w:eastAsia="宋体"/>
                <w:b w:val="0"/>
                <w:color w:val="000000"/>
                <w:sz w:val="24"/>
              </w:rPr>
              <w:t>7月5日</w:t>
            </w:r>
          </w:p>
        </w:tc>
      </w:tr>
      <w:tr>
        <w:tc>
          <w:tcPr>
            <w:tcW w:type="dxa" w:w="1417"/>
            <w:vAlign w:val="center"/>
          </w:tcPr>
          <w:p>
            <w:pPr>
              <w:spacing w:before="40" w:after="40"/>
              <w:jc w:val="center"/>
            </w:pPr>
            <w:r/>
            <w:r>
              <w:rPr>
                <w:rFonts w:ascii="Times New Roman" w:hAnsi="Times New Roman" w:eastAsia="宋体"/>
                <w:b w:val="0"/>
                <w:color w:val="000000"/>
                <w:sz w:val="24"/>
              </w:rPr>
              <w:t>通信测试</w:t>
            </w:r>
          </w:p>
        </w:tc>
        <w:tc>
          <w:tcPr>
            <w:tcW w:type="dxa" w:w="3969"/>
            <w:vAlign w:val="center"/>
          </w:tcPr>
          <w:p>
            <w:pPr>
              <w:spacing w:before="40" w:after="40"/>
              <w:jc w:val="center"/>
            </w:pPr>
            <w:r/>
            <w:r>
              <w:rPr>
                <w:rFonts w:ascii="Times New Roman" w:hAnsi="Times New Roman" w:eastAsia="宋体"/>
                <w:b w:val="0"/>
                <w:color w:val="000000"/>
                <w:sz w:val="24"/>
              </w:rPr>
              <w:t>华为云IoTDA连接测试/MQTT公共代理方案验证</w:t>
            </w:r>
          </w:p>
        </w:tc>
        <w:tc>
          <w:tcPr>
            <w:tcW w:type="dxa" w:w="1134"/>
            <w:vAlign w:val="center"/>
          </w:tcPr>
          <w:p>
            <w:pPr>
              <w:spacing w:before="40" w:after="40"/>
              <w:jc w:val="center"/>
            </w:pPr>
            <w:r/>
            <w:r>
              <w:rPr>
                <w:rFonts w:ascii="Times New Roman" w:hAnsi="Times New Roman" w:eastAsia="宋体"/>
                <w:b w:val="0"/>
                <w:color w:val="000000"/>
                <w:sz w:val="24"/>
              </w:rPr>
              <w:t>已完成</w:t>
            </w:r>
          </w:p>
        </w:tc>
        <w:tc>
          <w:tcPr>
            <w:tcW w:type="dxa" w:w="1134"/>
            <w:vAlign w:val="center"/>
          </w:tcPr>
          <w:p>
            <w:pPr>
              <w:spacing w:before="40" w:after="40"/>
              <w:jc w:val="center"/>
            </w:pPr>
            <w:r/>
            <w:r>
              <w:rPr>
                <w:rFonts w:ascii="Times New Roman" w:hAnsi="Times New Roman" w:eastAsia="宋体"/>
                <w:b w:val="0"/>
                <w:color w:val="000000"/>
                <w:sz w:val="24"/>
              </w:rPr>
              <w:t>7月6日</w:t>
            </w:r>
          </w:p>
        </w:tc>
      </w:tr>
      <w:tr>
        <w:tc>
          <w:tcPr>
            <w:tcW w:type="dxa" w:w="1417"/>
            <w:vAlign w:val="center"/>
          </w:tcPr>
          <w:p>
            <w:pPr>
              <w:spacing w:before="40" w:after="40"/>
              <w:jc w:val="center"/>
            </w:pPr>
            <w:r/>
            <w:r>
              <w:rPr>
                <w:rFonts w:ascii="Times New Roman" w:hAnsi="Times New Roman" w:eastAsia="宋体"/>
                <w:b w:val="0"/>
                <w:color w:val="000000"/>
                <w:sz w:val="24"/>
              </w:rPr>
              <w:t>后端开发</w:t>
            </w:r>
          </w:p>
        </w:tc>
        <w:tc>
          <w:tcPr>
            <w:tcW w:type="dxa" w:w="3969"/>
            <w:vAlign w:val="center"/>
          </w:tcPr>
          <w:p>
            <w:pPr>
              <w:spacing w:before="40" w:after="40"/>
              <w:jc w:val="center"/>
            </w:pPr>
            <w:r/>
            <w:r>
              <w:rPr>
                <w:rFonts w:ascii="Times New Roman" w:hAnsi="Times New Roman" w:eastAsia="宋体"/>
                <w:b w:val="0"/>
                <w:color w:val="000000"/>
                <w:sz w:val="24"/>
              </w:rPr>
              <w:t>Node.js + Socket.IO服务器搭建</w:t>
            </w:r>
          </w:p>
        </w:tc>
        <w:tc>
          <w:tcPr>
            <w:tcW w:type="dxa" w:w="1134"/>
            <w:vAlign w:val="center"/>
          </w:tcPr>
          <w:p>
            <w:pPr>
              <w:spacing w:before="40" w:after="40"/>
              <w:jc w:val="center"/>
            </w:pPr>
            <w:r/>
            <w:r>
              <w:rPr>
                <w:rFonts w:ascii="Times New Roman" w:hAnsi="Times New Roman" w:eastAsia="宋体"/>
                <w:b w:val="0"/>
                <w:color w:val="000000"/>
                <w:sz w:val="24"/>
              </w:rPr>
              <w:t>已完成</w:t>
            </w:r>
          </w:p>
        </w:tc>
        <w:tc>
          <w:tcPr>
            <w:tcW w:type="dxa" w:w="1134"/>
            <w:vAlign w:val="center"/>
          </w:tcPr>
          <w:p>
            <w:pPr>
              <w:spacing w:before="40" w:after="40"/>
              <w:jc w:val="center"/>
            </w:pPr>
            <w:r/>
            <w:r>
              <w:rPr>
                <w:rFonts w:ascii="Times New Roman" w:hAnsi="Times New Roman" w:eastAsia="宋体"/>
                <w:b w:val="0"/>
                <w:color w:val="000000"/>
                <w:sz w:val="24"/>
              </w:rPr>
              <w:t>7月6日</w:t>
            </w:r>
          </w:p>
        </w:tc>
      </w:tr>
      <w:tr>
        <w:tc>
          <w:tcPr>
            <w:tcW w:type="dxa" w:w="1417"/>
            <w:vAlign w:val="center"/>
          </w:tcPr>
          <w:p>
            <w:pPr>
              <w:spacing w:before="40" w:after="40"/>
              <w:jc w:val="center"/>
            </w:pPr>
            <w:r/>
            <w:r>
              <w:rPr>
                <w:rFonts w:ascii="Times New Roman" w:hAnsi="Times New Roman" w:eastAsia="宋体"/>
                <w:b w:val="0"/>
                <w:color w:val="000000"/>
                <w:sz w:val="24"/>
              </w:rPr>
              <w:t>前端开发</w:t>
            </w:r>
          </w:p>
        </w:tc>
        <w:tc>
          <w:tcPr>
            <w:tcW w:type="dxa" w:w="3969"/>
            <w:vAlign w:val="center"/>
          </w:tcPr>
          <w:p>
            <w:pPr>
              <w:spacing w:before="40" w:after="40"/>
              <w:jc w:val="center"/>
            </w:pPr>
            <w:r/>
            <w:r>
              <w:rPr>
                <w:rFonts w:ascii="Times New Roman" w:hAnsi="Times New Roman" w:eastAsia="宋体"/>
                <w:b w:val="0"/>
                <w:color w:val="000000"/>
                <w:sz w:val="24"/>
              </w:rPr>
              <w:t>React仪表盘10个功能模块开发</w:t>
            </w:r>
          </w:p>
        </w:tc>
        <w:tc>
          <w:tcPr>
            <w:tcW w:type="dxa" w:w="1134"/>
            <w:vAlign w:val="center"/>
          </w:tcPr>
          <w:p>
            <w:pPr>
              <w:spacing w:before="40" w:after="40"/>
              <w:jc w:val="center"/>
            </w:pPr>
            <w:r/>
            <w:r>
              <w:rPr>
                <w:rFonts w:ascii="Times New Roman" w:hAnsi="Times New Roman" w:eastAsia="宋体"/>
                <w:b w:val="0"/>
                <w:color w:val="000000"/>
                <w:sz w:val="24"/>
              </w:rPr>
              <w:t>已完成</w:t>
            </w:r>
          </w:p>
        </w:tc>
        <w:tc>
          <w:tcPr>
            <w:tcW w:type="dxa" w:w="1134"/>
            <w:vAlign w:val="center"/>
          </w:tcPr>
          <w:p>
            <w:pPr>
              <w:spacing w:before="40" w:after="40"/>
              <w:jc w:val="center"/>
            </w:pPr>
            <w:r/>
            <w:r>
              <w:rPr>
                <w:rFonts w:ascii="Times New Roman" w:hAnsi="Times New Roman" w:eastAsia="宋体"/>
                <w:b w:val="0"/>
                <w:color w:val="000000"/>
                <w:sz w:val="24"/>
              </w:rPr>
              <w:t>7月7日</w:t>
            </w:r>
          </w:p>
        </w:tc>
      </w:tr>
      <w:tr>
        <w:tc>
          <w:tcPr>
            <w:tcW w:type="dxa" w:w="1417"/>
            <w:vAlign w:val="center"/>
          </w:tcPr>
          <w:p>
            <w:pPr>
              <w:spacing w:before="40" w:after="40"/>
              <w:jc w:val="center"/>
            </w:pPr>
            <w:r/>
            <w:r>
              <w:rPr>
                <w:rFonts w:ascii="Times New Roman" w:hAnsi="Times New Roman" w:eastAsia="宋体"/>
                <w:b w:val="0"/>
                <w:color w:val="000000"/>
                <w:sz w:val="24"/>
              </w:rPr>
              <w:t>AI集成</w:t>
            </w:r>
          </w:p>
        </w:tc>
        <w:tc>
          <w:tcPr>
            <w:tcW w:type="dxa" w:w="3969"/>
            <w:vAlign w:val="center"/>
          </w:tcPr>
          <w:p>
            <w:pPr>
              <w:spacing w:before="40" w:after="40"/>
              <w:jc w:val="center"/>
            </w:pPr>
            <w:r/>
            <w:r>
              <w:rPr>
                <w:rFonts w:ascii="Times New Roman" w:hAnsi="Times New Roman" w:eastAsia="宋体"/>
                <w:b w:val="0"/>
                <w:color w:val="000000"/>
                <w:sz w:val="24"/>
              </w:rPr>
              <w:t>DeepSeek API接入与智能分析</w:t>
            </w:r>
          </w:p>
        </w:tc>
        <w:tc>
          <w:tcPr>
            <w:tcW w:type="dxa" w:w="1134"/>
            <w:vAlign w:val="center"/>
          </w:tcPr>
          <w:p>
            <w:pPr>
              <w:spacing w:before="40" w:after="40"/>
              <w:jc w:val="center"/>
            </w:pPr>
            <w:r/>
            <w:r>
              <w:rPr>
                <w:rFonts w:ascii="Times New Roman" w:hAnsi="Times New Roman" w:eastAsia="宋体"/>
                <w:b w:val="0"/>
                <w:color w:val="000000"/>
                <w:sz w:val="24"/>
              </w:rPr>
              <w:t>已完成</w:t>
            </w:r>
          </w:p>
        </w:tc>
        <w:tc>
          <w:tcPr>
            <w:tcW w:type="dxa" w:w="1134"/>
            <w:vAlign w:val="center"/>
          </w:tcPr>
          <w:p>
            <w:pPr>
              <w:spacing w:before="40" w:after="40"/>
              <w:jc w:val="center"/>
            </w:pPr>
            <w:r/>
            <w:r>
              <w:rPr>
                <w:rFonts w:ascii="Times New Roman" w:hAnsi="Times New Roman" w:eastAsia="宋体"/>
                <w:b w:val="0"/>
                <w:color w:val="000000"/>
                <w:sz w:val="24"/>
              </w:rPr>
              <w:t>7月7日</w:t>
            </w:r>
          </w:p>
        </w:tc>
      </w:tr>
      <w:tr>
        <w:tc>
          <w:tcPr>
            <w:tcW w:type="dxa" w:w="1417"/>
            <w:vAlign w:val="center"/>
          </w:tcPr>
          <w:p>
            <w:pPr>
              <w:spacing w:before="40" w:after="40"/>
              <w:jc w:val="center"/>
            </w:pPr>
            <w:r/>
            <w:r>
              <w:rPr>
                <w:rFonts w:ascii="Times New Roman" w:hAnsi="Times New Roman" w:eastAsia="宋体"/>
                <w:b w:val="0"/>
                <w:color w:val="000000"/>
                <w:sz w:val="24"/>
              </w:rPr>
              <w:t>供电优化</w:t>
            </w:r>
          </w:p>
        </w:tc>
        <w:tc>
          <w:tcPr>
            <w:tcW w:type="dxa" w:w="3969"/>
            <w:vAlign w:val="center"/>
          </w:tcPr>
          <w:p>
            <w:pPr>
              <w:spacing w:before="40" w:after="40"/>
              <w:jc w:val="center"/>
            </w:pPr>
            <w:r/>
            <w:r>
              <w:rPr>
                <w:rFonts w:ascii="Times New Roman" w:hAnsi="Times New Roman" w:eastAsia="宋体"/>
                <w:b w:val="0"/>
                <w:color w:val="000000"/>
                <w:sz w:val="24"/>
              </w:rPr>
              <w:t>3.3V统一供电、WiFi降频优化</w:t>
            </w:r>
          </w:p>
        </w:tc>
        <w:tc>
          <w:tcPr>
            <w:tcW w:type="dxa" w:w="1134"/>
            <w:vAlign w:val="center"/>
          </w:tcPr>
          <w:p>
            <w:pPr>
              <w:spacing w:before="40" w:after="40"/>
              <w:jc w:val="center"/>
            </w:pPr>
            <w:r/>
            <w:r>
              <w:rPr>
                <w:rFonts w:ascii="Times New Roman" w:hAnsi="Times New Roman" w:eastAsia="宋体"/>
                <w:b w:val="0"/>
                <w:color w:val="000000"/>
                <w:sz w:val="24"/>
              </w:rPr>
              <w:t>已完成</w:t>
            </w:r>
          </w:p>
        </w:tc>
        <w:tc>
          <w:tcPr>
            <w:tcW w:type="dxa" w:w="1134"/>
            <w:vAlign w:val="center"/>
          </w:tcPr>
          <w:p>
            <w:pPr>
              <w:spacing w:before="40" w:after="40"/>
              <w:jc w:val="center"/>
            </w:pPr>
            <w:r/>
            <w:r>
              <w:rPr>
                <w:rFonts w:ascii="Times New Roman" w:hAnsi="Times New Roman" w:eastAsia="宋体"/>
                <w:b w:val="0"/>
                <w:color w:val="000000"/>
                <w:sz w:val="24"/>
              </w:rPr>
              <w:t>7月5日</w:t>
            </w:r>
          </w:p>
        </w:tc>
      </w:tr>
      <w:tr>
        <w:tc>
          <w:tcPr>
            <w:tcW w:type="dxa" w:w="1417"/>
            <w:vAlign w:val="center"/>
          </w:tcPr>
          <w:p>
            <w:pPr>
              <w:spacing w:before="40" w:after="40"/>
              <w:jc w:val="center"/>
            </w:pPr>
            <w:r/>
            <w:r>
              <w:rPr>
                <w:rFonts w:ascii="Times New Roman" w:hAnsi="Times New Roman" w:eastAsia="宋体"/>
                <w:b w:val="0"/>
                <w:color w:val="000000"/>
                <w:sz w:val="24"/>
              </w:rPr>
              <w:t>文档整理</w:t>
            </w:r>
          </w:p>
        </w:tc>
        <w:tc>
          <w:tcPr>
            <w:tcW w:type="dxa" w:w="3969"/>
            <w:vAlign w:val="center"/>
          </w:tcPr>
          <w:p>
            <w:pPr>
              <w:spacing w:before="40" w:after="40"/>
              <w:jc w:val="center"/>
            </w:pPr>
            <w:r/>
            <w:r>
              <w:rPr>
                <w:rFonts w:ascii="Times New Roman" w:hAnsi="Times New Roman" w:eastAsia="宋体"/>
                <w:b w:val="0"/>
                <w:color w:val="000000"/>
                <w:sz w:val="24"/>
              </w:rPr>
              <w:t>项目工程化管理与文档输出</w:t>
            </w:r>
          </w:p>
        </w:tc>
        <w:tc>
          <w:tcPr>
            <w:tcW w:type="dxa" w:w="1134"/>
            <w:vAlign w:val="center"/>
          </w:tcPr>
          <w:p>
            <w:pPr>
              <w:spacing w:before="40" w:after="40"/>
              <w:jc w:val="center"/>
            </w:pPr>
            <w:r/>
            <w:r>
              <w:rPr>
                <w:rFonts w:ascii="Times New Roman" w:hAnsi="Times New Roman" w:eastAsia="宋体"/>
                <w:b w:val="0"/>
                <w:color w:val="000000"/>
                <w:sz w:val="24"/>
              </w:rPr>
              <w:t>已完成</w:t>
            </w:r>
          </w:p>
        </w:tc>
        <w:tc>
          <w:tcPr>
            <w:tcW w:type="dxa" w:w="1134"/>
            <w:vAlign w:val="center"/>
          </w:tcPr>
          <w:p>
            <w:pPr>
              <w:spacing w:before="40" w:after="40"/>
              <w:jc w:val="center"/>
            </w:pPr>
            <w:r/>
            <w:r>
              <w:rPr>
                <w:rFonts w:ascii="Times New Roman" w:hAnsi="Times New Roman" w:eastAsia="宋体"/>
                <w:b w:val="0"/>
                <w:color w:val="000000"/>
                <w:sz w:val="24"/>
              </w:rPr>
              <w:t>7月7日</w:t>
            </w:r>
          </w:p>
        </w:tc>
      </w:tr>
    </w:tbl>
    <w:p>
      <w:pPr>
        <w:spacing w:line="360" w:lineRule="auto" w:before="0" w:after="0"/>
      </w:pPr>
      <w:r>
        <w:rPr>
          <w:rFonts w:ascii="Times New Roman" w:hAnsi="Times New Roman" w:eastAsia="宋体"/>
          <w:b w:val="0"/>
          <w:color w:val="000000"/>
          <w:sz w:val="16"/>
        </w:rPr>
      </w:r>
    </w:p>
    <w:p>
      <w:pPr>
        <w:spacing w:line="360" w:lineRule="auto" w:before="240" w:after="80"/>
      </w:pPr>
      <w:r>
        <w:rPr>
          <w:rFonts w:ascii="Times New Roman" w:hAnsi="Times New Roman" w:eastAsia="黑体"/>
          <w:b/>
          <w:color w:val="000000"/>
          <w:sz w:val="28"/>
        </w:rPr>
        <w:t>四、后期工作展望</w:t>
      </w:r>
    </w:p>
    <w:p>
      <w:pPr>
        <w:spacing w:line="360" w:lineRule="auto" w:before="0" w:after="20"/>
        <w:ind w:firstLine="420"/>
      </w:pPr>
      <w:r>
        <w:rPr>
          <w:rFonts w:ascii="Times New Roman" w:hAnsi="Times New Roman" w:eastAsia="宋体"/>
          <w:b w:val="0"/>
          <w:color w:val="000000"/>
          <w:sz w:val="24"/>
        </w:rPr>
        <w:t>项目前期工作已按计划顺利完成，后期将聚焦实地测试、功能拓展与产品化方向，具体规划如下。</w:t>
      </w:r>
    </w:p>
    <w:p>
      <w:pPr>
        <w:spacing w:line="360" w:lineRule="auto" w:before="160" w:after="40"/>
      </w:pPr>
      <w:r>
        <w:rPr>
          <w:rFonts w:ascii="Times New Roman" w:hAnsi="Times New Roman" w:eastAsia="黑体"/>
          <w:b/>
          <w:color w:val="000000"/>
          <w:sz w:val="24"/>
        </w:rPr>
        <w:t>4.1  实地测试与长期稳定性验证</w:t>
      </w:r>
    </w:p>
    <w:p>
      <w:pPr>
        <w:spacing w:line="360" w:lineRule="auto" w:before="0" w:after="20"/>
        <w:ind w:firstLine="420"/>
      </w:pPr>
      <w:r>
        <w:rPr>
          <w:rFonts w:ascii="Times New Roman" w:hAnsi="Times New Roman" w:eastAsia="宋体"/>
          <w:b w:val="0"/>
          <w:color w:val="000000"/>
          <w:sz w:val="24"/>
        </w:rPr>
        <w:t>将系统部署至校园真实井盖环境，进行7×24小时连续运行测试，验证系统在户外温度、湿度、振动等复杂条件下的长期稳定性与可靠性。重点考察MQ系列传感器在户外环境下的基线漂移特性及数据一致性。</w:t>
      </w:r>
    </w:p>
    <w:p>
      <w:pPr>
        <w:spacing w:line="360" w:lineRule="auto" w:before="160" w:after="40"/>
      </w:pPr>
      <w:r>
        <w:rPr>
          <w:rFonts w:ascii="Times New Roman" w:hAnsi="Times New Roman" w:eastAsia="黑体"/>
          <w:b/>
          <w:color w:val="000000"/>
          <w:sz w:val="24"/>
        </w:rPr>
        <w:t>4.2  多设备组网支持</w:t>
      </w:r>
    </w:p>
    <w:p>
      <w:pPr>
        <w:spacing w:line="360" w:lineRule="auto" w:before="0" w:after="20"/>
        <w:ind w:firstLine="420"/>
      </w:pPr>
      <w:r>
        <w:rPr>
          <w:rFonts w:ascii="Times New Roman" w:hAnsi="Times New Roman" w:eastAsia="宋体"/>
          <w:b w:val="0"/>
          <w:color w:val="000000"/>
          <w:sz w:val="24"/>
        </w:rPr>
        <w:t>扩展至多ESP32节点组网，实现多个井盖的分布式监测。每个节点使用唯一标识（如manhole/esp32_N/data），后端支持多设备数据汇聚与分屏展示。同时预留设备注册与发现机制，支持动态增删监测节点。</w:t>
      </w:r>
    </w:p>
    <w:p>
      <w:pPr>
        <w:spacing w:line="360" w:lineRule="auto" w:before="160" w:after="40"/>
      </w:pPr>
      <w:r>
        <w:rPr>
          <w:rFonts w:ascii="Times New Roman" w:hAnsi="Times New Roman" w:eastAsia="黑体"/>
          <w:b/>
          <w:color w:val="000000"/>
          <w:sz w:val="24"/>
        </w:rPr>
        <w:t>4.3  低功耗优化</w:t>
      </w:r>
    </w:p>
    <w:p>
      <w:pPr>
        <w:spacing w:line="360" w:lineRule="auto" w:before="0" w:after="20"/>
        <w:ind w:firstLine="420"/>
      </w:pPr>
      <w:r>
        <w:rPr>
          <w:rFonts w:ascii="Times New Roman" w:hAnsi="Times New Roman" w:eastAsia="宋体"/>
          <w:b w:val="0"/>
          <w:color w:val="000000"/>
          <w:sz w:val="24"/>
        </w:rPr>
        <w:t>引入ESP32深度睡眠模式，在无事件触发时降低功耗。结合MQ-2/MQ-4加热丝间歇供电策略，目标实现单节点电池供电持续运行30天以上。同时探索太阳能供电方案，进一步提升系统在户外部署场景下的续航能力。</w:t>
      </w:r>
    </w:p>
    <w:p>
      <w:pPr>
        <w:spacing w:line="360" w:lineRule="auto" w:before="160" w:after="40"/>
      </w:pPr>
      <w:r>
        <w:rPr>
          <w:rFonts w:ascii="Times New Roman" w:hAnsi="Times New Roman" w:eastAsia="黑体"/>
          <w:b/>
          <w:color w:val="000000"/>
          <w:sz w:val="24"/>
        </w:rPr>
        <w:t>4.4  华为云IoTDA集成</w:t>
      </w:r>
    </w:p>
    <w:p>
      <w:pPr>
        <w:spacing w:line="360" w:lineRule="auto" w:before="0" w:after="20"/>
        <w:ind w:firstLine="420"/>
      </w:pPr>
      <w:r>
        <w:rPr>
          <w:rFonts w:ascii="Times New Roman" w:hAnsi="Times New Roman" w:eastAsia="宋体"/>
          <w:b w:val="0"/>
          <w:color w:val="000000"/>
          <w:sz w:val="24"/>
        </w:rPr>
        <w:t>继续推动华为云IoTDA平台的权限申请，打通华为云数据通道，实现设备数据的云端持久化存储与远程管理。华为云IoTDA作为企业级物联网平台，提供设备管理、数据存储、规则引擎等高级功能，将显著提升系统的可管理性与扩展性。</w:t>
      </w:r>
    </w:p>
    <w:p>
      <w:pPr>
        <w:spacing w:line="360" w:lineRule="auto" w:before="160" w:after="40"/>
      </w:pPr>
      <w:r>
        <w:rPr>
          <w:rFonts w:ascii="Times New Roman" w:hAnsi="Times New Roman" w:eastAsia="黑体"/>
          <w:b/>
          <w:color w:val="000000"/>
          <w:sz w:val="24"/>
        </w:rPr>
        <w:t>4.5  大数据分析与预测</w:t>
      </w:r>
    </w:p>
    <w:p>
      <w:pPr>
        <w:spacing w:line="360" w:lineRule="auto" w:before="0" w:after="20"/>
        <w:ind w:firstLine="420"/>
      </w:pPr>
      <w:r>
        <w:rPr>
          <w:rFonts w:ascii="Times New Roman" w:hAnsi="Times New Roman" w:eastAsia="宋体"/>
          <w:b w:val="0"/>
          <w:color w:val="000000"/>
          <w:sz w:val="24"/>
        </w:rPr>
        <w:t>基于长期积累的历史数据，利用机器学习算法（如时间序列预测、异常检测）进行趋势预测与智能预警，提升井盖安全评估的前瞻性和准确性。同时探索多传感器数据融合的深度学习模型，进一步提高风险识别的准确率。</w:t>
      </w:r>
    </w:p>
    <w:p>
      <w:pPr>
        <w:spacing w:line="360" w:lineRule="auto" w:before="160" w:after="40"/>
      </w:pPr>
      <w:r>
        <w:rPr>
          <w:rFonts w:ascii="Times New Roman" w:hAnsi="Times New Roman" w:eastAsia="黑体"/>
          <w:b/>
          <w:color w:val="000000"/>
          <w:sz w:val="24"/>
        </w:rPr>
        <w:t>4.6  联动控制功能</w:t>
      </w:r>
    </w:p>
    <w:p>
      <w:pPr>
        <w:spacing w:line="360" w:lineRule="auto" w:before="0" w:after="20"/>
        <w:ind w:firstLine="420"/>
      </w:pPr>
      <w:r>
        <w:rPr>
          <w:rFonts w:ascii="Times New Roman" w:hAnsi="Times New Roman" w:eastAsia="宋体"/>
          <w:b w:val="0"/>
          <w:color w:val="000000"/>
          <w:sz w:val="24"/>
        </w:rPr>
        <w:t>增加井盖锁定/解锁控制机制，当检测到异常倾角或有害气体泄漏时，可远程触发声光报警器或联动排风装置。实现从"监"到"控"的闭环管理，提升系统在应急场景下的实际应用价值。</w:t>
      </w:r>
    </w:p>
    <w:p>
      <w:pPr>
        <w:spacing w:line="360" w:lineRule="auto" w:before="240" w:after="80"/>
      </w:pPr>
      <w:r>
        <w:rPr>
          <w:rFonts w:ascii="Times New Roman" w:hAnsi="Times New Roman" w:eastAsia="黑体"/>
          <w:b/>
          <w:color w:val="000000"/>
          <w:sz w:val="28"/>
        </w:rPr>
        <w:t>五、结语</w:t>
      </w:r>
    </w:p>
    <w:p>
      <w:pPr>
        <w:spacing w:line="360" w:lineRule="auto" w:before="0" w:after="20"/>
        <w:ind w:firstLine="420"/>
      </w:pPr>
      <w:r>
        <w:rPr>
          <w:rFonts w:ascii="Times New Roman" w:hAnsi="Times New Roman" w:eastAsia="宋体"/>
          <w:b w:val="0"/>
          <w:color w:val="000000"/>
          <w:sz w:val="24"/>
        </w:rPr>
        <w:t>项目前期工作已按计划顺利完成，硬件系统稳定可靠，数据传输链路通畅，Web仪表盘功能完善并集成了AI智能分析能力。通过本次小学期课程设计，成功搭建了一套从传感器采集、无线传输到可视化展示与智能分析的完整物联网系统原型。后期将聚焦实地测试、多设备组网、低功耗优化、云端集成等方向，持续推进系统向产品化、实用化方向发展。</w:t>
      </w:r>
    </w:p>
    <w:p>
      <w:pPr>
        <w:spacing w:line="360" w:lineRule="auto" w:before="0" w:after="20"/>
        <w:ind w:firstLine="420"/>
      </w:pPr>
      <w:r>
        <w:rPr>
          <w:rFonts w:ascii="Times New Roman" w:hAnsi="Times New Roman" w:eastAsia="宋体"/>
          <w:b w:val="0"/>
          <w:color w:val="000000"/>
          <w:sz w:val="24"/>
        </w:rPr>
        <w:t>本项目的实施充分验证了基于ESP32和开源软件栈构建智慧城市基础设施监测系统的技术可行性与经济可行性，为后续深入研究奠定了基础。</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宋体" w:hAnsi="宋体"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